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8EC9" w14:textId="11A27626" w:rsidR="004B2FF8" w:rsidRPr="00164F6B" w:rsidRDefault="005F30E1" w:rsidP="00DC2565">
      <w:pPr>
        <w:spacing w:after="240"/>
        <w:jc w:val="cente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8240" behindDoc="0" locked="0" layoutInCell="1" allowOverlap="1" wp14:anchorId="76612507" wp14:editId="689E07E9">
                <wp:simplePos x="0" y="0"/>
                <wp:positionH relativeFrom="column">
                  <wp:posOffset>4710430</wp:posOffset>
                </wp:positionH>
                <wp:positionV relativeFrom="paragraph">
                  <wp:posOffset>-228600</wp:posOffset>
                </wp:positionV>
                <wp:extent cx="1000125" cy="352425"/>
                <wp:effectExtent l="6350"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rect">
                          <a:avLst/>
                        </a:prstGeom>
                        <a:solidFill>
                          <a:srgbClr val="FFFFFF"/>
                        </a:solidFill>
                        <a:ln w="9525">
                          <a:solidFill>
                            <a:srgbClr val="000000"/>
                          </a:solidFill>
                          <a:miter lim="800000"/>
                          <a:headEnd/>
                          <a:tailEnd/>
                        </a:ln>
                      </wps:spPr>
                      <wps:txbx>
                        <w:txbxContent>
                          <w:p w14:paraId="24F15AC9" w14:textId="5F886210" w:rsidR="00D95536" w:rsidRDefault="00D95536" w:rsidP="00F82D3D">
                            <w:pPr>
                              <w:spacing w:before="60"/>
                              <w:rPr>
                                <w:rFonts w:ascii="Arial" w:hAnsi="Arial"/>
                                <w:b/>
                              </w:rPr>
                            </w:pPr>
                            <w:r>
                              <w:rPr>
                                <w:rFonts w:ascii="Arial" w:hAnsi="Arial"/>
                                <w:b/>
                              </w:rPr>
                              <w:t xml:space="preserve">LC </w:t>
                            </w:r>
                            <w:r w:rsidR="0097486B">
                              <w:rPr>
                                <w:rFonts w:ascii="Arial" w:hAnsi="Arial"/>
                                <w:b/>
                              </w:rPr>
                              <w:t>0</w:t>
                            </w:r>
                            <w:r w:rsidR="00A03E8F">
                              <w:rPr>
                                <w:rFonts w:ascii="Arial" w:hAnsi="Arial"/>
                                <w:b/>
                              </w:rPr>
                              <w:t>2</w:t>
                            </w:r>
                            <w:r w:rsidR="0097486B">
                              <w:rPr>
                                <w:rFonts w:ascii="Arial" w:hAnsi="Arial"/>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2507" id="Rectangle 2" o:spid="_x0000_s1026" style="position:absolute;left:0;text-align:left;margin-left:370.9pt;margin-top:-18pt;width:78.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">
                <v:textbox>
                  <w:txbxContent>
                    <w:p w14:paraId="24F15AC9" w14:textId="5F886210" w:rsidR="00D95536" w:rsidRDefault="00D95536" w:rsidP="00F82D3D">
                      <w:pPr>
                        <w:spacing w:before="60"/>
                        <w:rPr>
                          <w:rFonts w:ascii="Arial" w:hAnsi="Arial"/>
                          <w:b/>
                        </w:rPr>
                      </w:pPr>
                      <w:r>
                        <w:rPr>
                          <w:rFonts w:ascii="Arial" w:hAnsi="Arial"/>
                          <w:b/>
                        </w:rPr>
                        <w:t xml:space="preserve">LC </w:t>
                      </w:r>
                      <w:r w:rsidR="0097486B">
                        <w:rPr>
                          <w:rFonts w:ascii="Arial" w:hAnsi="Arial"/>
                          <w:b/>
                        </w:rPr>
                        <w:t>0</w:t>
                      </w:r>
                      <w:r w:rsidR="00A03E8F">
                        <w:rPr>
                          <w:rFonts w:ascii="Arial" w:hAnsi="Arial"/>
                          <w:b/>
                        </w:rPr>
                        <w:t>2</w:t>
                      </w:r>
                      <w:r w:rsidR="0097486B">
                        <w:rPr>
                          <w:rFonts w:ascii="Arial" w:hAnsi="Arial"/>
                          <w:b/>
                        </w:rPr>
                        <w:t>/2018</w:t>
                      </w:r>
                    </w:p>
                  </w:txbxContent>
                </v:textbox>
              </v:rect>
            </w:pict>
          </mc:Fallback>
        </mc:AlternateContent>
      </w:r>
    </w:p>
    <w:p w14:paraId="4A5255B1" w14:textId="77777777" w:rsidR="00941D32" w:rsidRDefault="00941D32" w:rsidP="00E34E31">
      <w:pPr>
        <w:spacing w:after="240"/>
        <w:contextualSpacing/>
        <w:jc w:val="center"/>
        <w:rPr>
          <w:rFonts w:ascii="Arial" w:hAnsi="Arial" w:cs="Arial"/>
          <w:b/>
          <w:sz w:val="24"/>
          <w:szCs w:val="24"/>
        </w:rPr>
      </w:pPr>
    </w:p>
    <w:p w14:paraId="2FE01382" w14:textId="77777777" w:rsidR="00A03E8F" w:rsidRDefault="00A03E8F" w:rsidP="00E34E31">
      <w:pPr>
        <w:spacing w:after="240"/>
        <w:contextualSpacing/>
        <w:jc w:val="center"/>
        <w:rPr>
          <w:rFonts w:ascii="Arial" w:hAnsi="Arial" w:cs="Arial"/>
          <w:b/>
          <w:sz w:val="24"/>
          <w:szCs w:val="24"/>
        </w:rPr>
      </w:pPr>
    </w:p>
    <w:p w14:paraId="7A2626B4" w14:textId="4DBB9215" w:rsidR="004B2FF8" w:rsidRDefault="00081929" w:rsidP="00E34E31">
      <w:pPr>
        <w:spacing w:after="240"/>
        <w:contextualSpacing/>
        <w:jc w:val="center"/>
        <w:rPr>
          <w:rFonts w:ascii="Arial" w:hAnsi="Arial" w:cs="Arial"/>
          <w:b/>
          <w:sz w:val="24"/>
          <w:szCs w:val="24"/>
        </w:rPr>
      </w:pPr>
      <w:r w:rsidRPr="004B2FF8">
        <w:rPr>
          <w:rFonts w:ascii="Arial" w:hAnsi="Arial" w:cs="Arial"/>
          <w:b/>
          <w:sz w:val="24"/>
          <w:szCs w:val="24"/>
        </w:rPr>
        <w:t>Liquor Commission of Western Australia</w:t>
      </w:r>
    </w:p>
    <w:p w14:paraId="5527D260" w14:textId="41F2E0CA" w:rsidR="00081929" w:rsidRPr="004B2FF8" w:rsidRDefault="00081929" w:rsidP="00E34E31">
      <w:pPr>
        <w:spacing w:after="240"/>
        <w:contextualSpacing/>
        <w:jc w:val="center"/>
        <w:rPr>
          <w:rFonts w:ascii="Arial" w:hAnsi="Arial" w:cs="Arial"/>
          <w:b/>
          <w:sz w:val="24"/>
          <w:szCs w:val="24"/>
        </w:rPr>
      </w:pPr>
      <w:r w:rsidRPr="004B2FF8">
        <w:rPr>
          <w:rFonts w:ascii="Arial" w:hAnsi="Arial" w:cs="Arial"/>
          <w:b/>
          <w:sz w:val="24"/>
          <w:szCs w:val="24"/>
        </w:rPr>
        <w:t>(</w:t>
      </w:r>
      <w:r w:rsidRPr="008B645A">
        <w:rPr>
          <w:rFonts w:ascii="Arial" w:hAnsi="Arial" w:cs="Arial"/>
          <w:b/>
          <w:i/>
          <w:sz w:val="24"/>
          <w:szCs w:val="24"/>
        </w:rPr>
        <w:t>Liquor Control Act</w:t>
      </w:r>
      <w:r w:rsidR="008B645A" w:rsidRPr="008B645A">
        <w:rPr>
          <w:rFonts w:ascii="Arial" w:hAnsi="Arial" w:cs="Arial"/>
          <w:b/>
          <w:i/>
          <w:sz w:val="24"/>
          <w:szCs w:val="24"/>
        </w:rPr>
        <w:t xml:space="preserve"> 1988</w:t>
      </w:r>
      <w:r w:rsidR="00DC2565">
        <w:rPr>
          <w:rFonts w:ascii="Arial" w:hAnsi="Arial" w:cs="Arial"/>
          <w:b/>
          <w:sz w:val="24"/>
          <w:szCs w:val="24"/>
        </w:rPr>
        <w:t>)</w:t>
      </w:r>
    </w:p>
    <w:p w14:paraId="73BE9C37" w14:textId="264A4BE8" w:rsidR="004B2FF8" w:rsidRDefault="004B2FF8" w:rsidP="00E34E31">
      <w:pPr>
        <w:spacing w:after="0"/>
        <w:contextualSpacing/>
        <w:jc w:val="both"/>
        <w:rPr>
          <w:rFonts w:ascii="Arial" w:hAnsi="Arial" w:cs="Arial"/>
          <w:b/>
          <w:sz w:val="24"/>
          <w:szCs w:val="24"/>
        </w:rPr>
      </w:pPr>
    </w:p>
    <w:p w14:paraId="0B4ED256" w14:textId="7FD4C946" w:rsidR="00E34E31" w:rsidRDefault="00E34E31" w:rsidP="00E34E31">
      <w:pPr>
        <w:spacing w:after="0"/>
        <w:contextualSpacing/>
        <w:jc w:val="both"/>
        <w:rPr>
          <w:rFonts w:ascii="Arial" w:hAnsi="Arial" w:cs="Arial"/>
          <w:b/>
          <w:sz w:val="24"/>
          <w:szCs w:val="24"/>
        </w:rPr>
      </w:pPr>
    </w:p>
    <w:p w14:paraId="213A8315" w14:textId="77777777" w:rsidR="00A03E8F" w:rsidRDefault="00A03E8F" w:rsidP="00E34E31">
      <w:pPr>
        <w:spacing w:after="0"/>
        <w:contextualSpacing/>
        <w:jc w:val="both"/>
        <w:rPr>
          <w:rFonts w:ascii="Arial" w:hAnsi="Arial" w:cs="Arial"/>
          <w:b/>
          <w:sz w:val="24"/>
          <w:szCs w:val="24"/>
        </w:rPr>
      </w:pPr>
    </w:p>
    <w:p w14:paraId="727BE708" w14:textId="642CF67C" w:rsidR="00081929" w:rsidRDefault="00081929" w:rsidP="00E34E31">
      <w:pPr>
        <w:spacing w:after="0"/>
        <w:contextualSpacing/>
        <w:jc w:val="both"/>
        <w:rPr>
          <w:rFonts w:ascii="Arial" w:hAnsi="Arial" w:cs="Arial"/>
          <w:sz w:val="24"/>
          <w:szCs w:val="24"/>
        </w:rPr>
      </w:pPr>
      <w:r w:rsidRPr="004B2FF8">
        <w:rPr>
          <w:rFonts w:ascii="Arial" w:hAnsi="Arial" w:cs="Arial"/>
          <w:b/>
          <w:sz w:val="24"/>
          <w:szCs w:val="24"/>
        </w:rPr>
        <w:t>Applicant:</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AF28E5" w:rsidRPr="00AF28E5">
        <w:rPr>
          <w:rFonts w:ascii="Arial" w:hAnsi="Arial" w:cs="Arial"/>
          <w:sz w:val="24"/>
          <w:szCs w:val="24"/>
        </w:rPr>
        <w:t>M</w:t>
      </w:r>
      <w:r w:rsidR="0085153E">
        <w:rPr>
          <w:rFonts w:ascii="Arial" w:hAnsi="Arial" w:cs="Arial"/>
          <w:sz w:val="24"/>
          <w:szCs w:val="24"/>
        </w:rPr>
        <w:t>s V</w:t>
      </w:r>
      <w:r w:rsidR="001F72A1">
        <w:rPr>
          <w:rFonts w:ascii="Arial" w:hAnsi="Arial" w:cs="Arial"/>
          <w:sz w:val="24"/>
          <w:szCs w:val="24"/>
        </w:rPr>
        <w:t xml:space="preserve"> P</w:t>
      </w:r>
    </w:p>
    <w:p w14:paraId="12ED06AC" w14:textId="186D7C99" w:rsidR="00DC2565" w:rsidRDefault="00DC2565" w:rsidP="00E34E31">
      <w:pPr>
        <w:spacing w:after="0"/>
        <w:contextualSpacing/>
        <w:jc w:val="both"/>
        <w:rPr>
          <w:rFonts w:ascii="Arial" w:hAnsi="Arial" w:cs="Arial"/>
          <w:sz w:val="24"/>
          <w:szCs w:val="24"/>
        </w:rPr>
      </w:pPr>
    </w:p>
    <w:p w14:paraId="3B51B826" w14:textId="20417C85" w:rsidR="00DC2565" w:rsidRDefault="00DC2565" w:rsidP="00E34E31">
      <w:pPr>
        <w:spacing w:after="0"/>
        <w:contextualSpacing/>
        <w:jc w:val="both"/>
        <w:rPr>
          <w:rFonts w:ascii="Arial" w:hAnsi="Arial" w:cs="Arial"/>
          <w:sz w:val="24"/>
          <w:szCs w:val="24"/>
        </w:rPr>
      </w:pPr>
    </w:p>
    <w:p w14:paraId="0B52B91C" w14:textId="77777777" w:rsidR="00A03E8F" w:rsidRPr="00DE2831" w:rsidRDefault="00A03E8F" w:rsidP="00E34E31">
      <w:pPr>
        <w:spacing w:after="0"/>
        <w:contextualSpacing/>
        <w:jc w:val="both"/>
        <w:rPr>
          <w:rFonts w:ascii="Arial" w:hAnsi="Arial" w:cs="Arial"/>
          <w:sz w:val="24"/>
          <w:szCs w:val="24"/>
        </w:rPr>
      </w:pPr>
    </w:p>
    <w:p w14:paraId="7E0EA7C3" w14:textId="003CA358" w:rsidR="00944E64" w:rsidRPr="004B2FF8" w:rsidRDefault="00DA2CD6" w:rsidP="00E34E31">
      <w:pPr>
        <w:spacing w:after="0"/>
        <w:contextualSpacing/>
        <w:jc w:val="both"/>
        <w:rPr>
          <w:rFonts w:ascii="Arial" w:hAnsi="Arial" w:cs="Arial"/>
          <w:sz w:val="24"/>
          <w:szCs w:val="24"/>
        </w:rPr>
      </w:pPr>
      <w:r>
        <w:rPr>
          <w:rFonts w:ascii="Arial" w:hAnsi="Arial" w:cs="Arial"/>
          <w:b/>
          <w:sz w:val="24"/>
          <w:szCs w:val="24"/>
        </w:rPr>
        <w:t>Respondent</w:t>
      </w:r>
      <w:r w:rsidR="00944E64" w:rsidRPr="004B2FF8">
        <w:rPr>
          <w:rFonts w:ascii="Arial" w:hAnsi="Arial" w:cs="Arial"/>
          <w:b/>
          <w:sz w:val="24"/>
          <w:szCs w:val="24"/>
        </w:rPr>
        <w:t>:</w:t>
      </w:r>
      <w:r w:rsidR="00944E64" w:rsidRPr="004B2FF8">
        <w:rPr>
          <w:rFonts w:ascii="Arial" w:hAnsi="Arial" w:cs="Arial"/>
          <w:b/>
          <w:sz w:val="24"/>
          <w:szCs w:val="24"/>
        </w:rPr>
        <w:tab/>
      </w:r>
      <w:r w:rsidR="00944E64" w:rsidRPr="004B2FF8">
        <w:rPr>
          <w:rFonts w:ascii="Arial" w:hAnsi="Arial" w:cs="Arial"/>
          <w:b/>
          <w:sz w:val="24"/>
          <w:szCs w:val="24"/>
        </w:rPr>
        <w:tab/>
      </w:r>
      <w:r w:rsidR="00944E64" w:rsidRPr="004B2FF8">
        <w:rPr>
          <w:rFonts w:ascii="Arial" w:hAnsi="Arial" w:cs="Arial"/>
          <w:b/>
          <w:sz w:val="24"/>
          <w:szCs w:val="24"/>
        </w:rPr>
        <w:tab/>
      </w:r>
      <w:r w:rsidRPr="00DA2CD6">
        <w:rPr>
          <w:rFonts w:ascii="Arial" w:hAnsi="Arial" w:cs="Arial"/>
          <w:sz w:val="24"/>
          <w:szCs w:val="24"/>
        </w:rPr>
        <w:t>Commissioner of Police</w:t>
      </w:r>
    </w:p>
    <w:p w14:paraId="1346CCAB" w14:textId="5E0CD000" w:rsidR="00850490" w:rsidRPr="004B2FF8" w:rsidRDefault="00944E64" w:rsidP="00E34E31">
      <w:pPr>
        <w:spacing w:after="0"/>
        <w:ind w:left="3600"/>
        <w:contextualSpacing/>
        <w:jc w:val="both"/>
        <w:rPr>
          <w:rFonts w:ascii="Arial" w:hAnsi="Arial" w:cs="Arial"/>
          <w:i/>
          <w:sz w:val="24"/>
          <w:szCs w:val="24"/>
        </w:rPr>
      </w:pPr>
      <w:r w:rsidRPr="004B2FF8">
        <w:rPr>
          <w:rFonts w:ascii="Arial" w:hAnsi="Arial" w:cs="Arial"/>
          <w:i/>
          <w:sz w:val="24"/>
          <w:szCs w:val="24"/>
        </w:rPr>
        <w:t>(represented by</w:t>
      </w:r>
      <w:r w:rsidR="00DE2831">
        <w:rPr>
          <w:rFonts w:ascii="Arial" w:hAnsi="Arial" w:cs="Arial"/>
          <w:i/>
          <w:sz w:val="24"/>
          <w:szCs w:val="24"/>
        </w:rPr>
        <w:t xml:space="preserve"> </w:t>
      </w:r>
      <w:r w:rsidR="00AF28E5">
        <w:rPr>
          <w:rFonts w:ascii="Arial" w:hAnsi="Arial" w:cs="Arial"/>
          <w:i/>
          <w:sz w:val="24"/>
          <w:szCs w:val="24"/>
        </w:rPr>
        <w:t xml:space="preserve">Mr </w:t>
      </w:r>
      <w:r w:rsidR="00A03E8F">
        <w:rPr>
          <w:rFonts w:ascii="Arial" w:hAnsi="Arial" w:cs="Arial"/>
          <w:i/>
          <w:sz w:val="24"/>
          <w:szCs w:val="24"/>
        </w:rPr>
        <w:t xml:space="preserve">John Carroll of </w:t>
      </w:r>
      <w:r w:rsidR="00C42CCA" w:rsidRPr="00C42CCA">
        <w:rPr>
          <w:rFonts w:ascii="Arial" w:hAnsi="Arial" w:cs="Arial"/>
          <w:i/>
          <w:sz w:val="24"/>
          <w:szCs w:val="24"/>
        </w:rPr>
        <w:t>State Solicitor’s Office)</w:t>
      </w:r>
    </w:p>
    <w:p w14:paraId="57C95836" w14:textId="02A46C01" w:rsidR="00DC2565" w:rsidRDefault="00DC2565" w:rsidP="00E34E31">
      <w:pPr>
        <w:spacing w:after="0"/>
        <w:contextualSpacing/>
        <w:jc w:val="both"/>
        <w:rPr>
          <w:rFonts w:ascii="Arial" w:hAnsi="Arial" w:cs="Arial"/>
          <w:b/>
          <w:sz w:val="24"/>
          <w:szCs w:val="24"/>
        </w:rPr>
      </w:pPr>
    </w:p>
    <w:p w14:paraId="78D00E45" w14:textId="5C734B2A" w:rsidR="00DC2565" w:rsidRDefault="00DC2565" w:rsidP="00E34E31">
      <w:pPr>
        <w:spacing w:after="0"/>
        <w:contextualSpacing/>
        <w:jc w:val="both"/>
        <w:rPr>
          <w:rFonts w:ascii="Arial" w:hAnsi="Arial" w:cs="Arial"/>
          <w:b/>
          <w:sz w:val="24"/>
          <w:szCs w:val="24"/>
        </w:rPr>
      </w:pPr>
    </w:p>
    <w:p w14:paraId="4E17740E" w14:textId="63B80DF6" w:rsidR="00A03E8F" w:rsidRDefault="00C53848" w:rsidP="00E34E31">
      <w:pPr>
        <w:spacing w:after="0"/>
        <w:contextualSpacing/>
        <w:jc w:val="both"/>
        <w:rPr>
          <w:rFonts w:ascii="Arial" w:hAnsi="Arial" w:cs="Arial"/>
          <w:b/>
          <w:sz w:val="24"/>
          <w:szCs w:val="24"/>
        </w:rPr>
      </w:pPr>
      <w:r>
        <w:rPr>
          <w:rFonts w:ascii="Arial" w:hAnsi="Arial" w:cs="Arial"/>
          <w:b/>
          <w:sz w:val="24"/>
          <w:szCs w:val="24"/>
        </w:rPr>
        <w:t xml:space="preserve">              </w:t>
      </w:r>
    </w:p>
    <w:p w14:paraId="179A4775" w14:textId="4B1C517F" w:rsidR="00850490" w:rsidRDefault="00850490" w:rsidP="00E34E31">
      <w:pPr>
        <w:spacing w:after="0"/>
        <w:contextualSpacing/>
        <w:jc w:val="both"/>
        <w:rPr>
          <w:rFonts w:ascii="Arial" w:hAnsi="Arial" w:cs="Arial"/>
          <w:sz w:val="24"/>
          <w:szCs w:val="24"/>
        </w:rPr>
      </w:pPr>
      <w:r w:rsidRPr="004B2FF8">
        <w:rPr>
          <w:rFonts w:ascii="Arial" w:hAnsi="Arial" w:cs="Arial"/>
          <w:b/>
          <w:sz w:val="24"/>
          <w:szCs w:val="24"/>
        </w:rPr>
        <w:t>Commission:</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E34E31">
        <w:rPr>
          <w:rFonts w:ascii="Arial" w:hAnsi="Arial" w:cs="Arial"/>
          <w:sz w:val="24"/>
          <w:szCs w:val="24"/>
        </w:rPr>
        <w:t>M</w:t>
      </w:r>
      <w:r w:rsidR="00A03E8F">
        <w:rPr>
          <w:rFonts w:ascii="Arial" w:hAnsi="Arial" w:cs="Arial"/>
          <w:sz w:val="24"/>
          <w:szCs w:val="24"/>
        </w:rPr>
        <w:t>r Seamus Rafferty</w:t>
      </w:r>
      <w:r w:rsidR="00DE2831">
        <w:rPr>
          <w:rFonts w:ascii="Arial" w:hAnsi="Arial" w:cs="Arial"/>
          <w:sz w:val="24"/>
          <w:szCs w:val="24"/>
        </w:rPr>
        <w:t xml:space="preserve"> (</w:t>
      </w:r>
      <w:r w:rsidR="00A03E8F">
        <w:rPr>
          <w:rFonts w:ascii="Arial" w:hAnsi="Arial" w:cs="Arial"/>
          <w:sz w:val="24"/>
          <w:szCs w:val="24"/>
        </w:rPr>
        <w:t>Chairperson</w:t>
      </w:r>
      <w:r w:rsidR="00DE2831">
        <w:rPr>
          <w:rFonts w:ascii="Arial" w:hAnsi="Arial" w:cs="Arial"/>
          <w:sz w:val="24"/>
          <w:szCs w:val="24"/>
        </w:rPr>
        <w:t>)</w:t>
      </w:r>
    </w:p>
    <w:p w14:paraId="5B56E784" w14:textId="77B721F6" w:rsidR="00DE2831" w:rsidRPr="004B2FF8" w:rsidRDefault="00DE2831" w:rsidP="00E34E31">
      <w:pPr>
        <w:spacing w:after="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FFC96E9" w14:textId="7917B6D5" w:rsidR="004B2FF8" w:rsidRDefault="004B2FF8" w:rsidP="00E34E31">
      <w:pPr>
        <w:spacing w:after="0"/>
        <w:contextualSpacing/>
        <w:jc w:val="both"/>
        <w:rPr>
          <w:rFonts w:ascii="Arial" w:hAnsi="Arial" w:cs="Arial"/>
          <w:b/>
          <w:sz w:val="24"/>
          <w:szCs w:val="24"/>
        </w:rPr>
      </w:pPr>
    </w:p>
    <w:p w14:paraId="1DCDF20E" w14:textId="77777777" w:rsidR="00A03E8F" w:rsidRDefault="00A03E8F" w:rsidP="00E34E31">
      <w:pPr>
        <w:spacing w:after="0"/>
        <w:contextualSpacing/>
        <w:jc w:val="both"/>
        <w:rPr>
          <w:rFonts w:ascii="Arial" w:hAnsi="Arial" w:cs="Arial"/>
          <w:b/>
          <w:sz w:val="24"/>
          <w:szCs w:val="24"/>
        </w:rPr>
      </w:pPr>
    </w:p>
    <w:p w14:paraId="083627F6" w14:textId="10A45699" w:rsidR="00292206" w:rsidRPr="00DE2831" w:rsidRDefault="00DA2CD6" w:rsidP="00E34E31">
      <w:pPr>
        <w:spacing w:after="0"/>
        <w:ind w:left="3600" w:hanging="3600"/>
        <w:contextualSpacing/>
        <w:jc w:val="both"/>
        <w:rPr>
          <w:rFonts w:ascii="Arial" w:hAnsi="Arial" w:cs="Arial"/>
          <w:i/>
          <w:sz w:val="24"/>
          <w:szCs w:val="24"/>
        </w:rPr>
      </w:pPr>
      <w:r>
        <w:rPr>
          <w:rFonts w:ascii="Arial" w:hAnsi="Arial" w:cs="Arial"/>
          <w:b/>
          <w:sz w:val="24"/>
          <w:szCs w:val="24"/>
        </w:rPr>
        <w:t>Matter:</w:t>
      </w:r>
      <w:r>
        <w:rPr>
          <w:rFonts w:ascii="Arial" w:hAnsi="Arial" w:cs="Arial"/>
          <w:b/>
          <w:sz w:val="24"/>
          <w:szCs w:val="24"/>
        </w:rPr>
        <w:tab/>
      </w:r>
      <w:r w:rsidRPr="00DA2CD6">
        <w:rPr>
          <w:rFonts w:ascii="Arial" w:hAnsi="Arial" w:cs="Arial"/>
          <w:sz w:val="24"/>
          <w:szCs w:val="24"/>
        </w:rPr>
        <w:t xml:space="preserve">Application seeking review of a barring notice pursuant to section 115AD of the </w:t>
      </w:r>
      <w:r w:rsidRPr="00E34E31">
        <w:rPr>
          <w:rFonts w:ascii="Arial" w:hAnsi="Arial" w:cs="Arial"/>
          <w:i/>
          <w:sz w:val="24"/>
          <w:szCs w:val="24"/>
        </w:rPr>
        <w:t>Liquor Control Act 1988</w:t>
      </w:r>
      <w:r w:rsidRPr="00DA2CD6">
        <w:rPr>
          <w:rFonts w:ascii="Arial" w:hAnsi="Arial" w:cs="Arial"/>
          <w:sz w:val="24"/>
          <w:szCs w:val="24"/>
        </w:rPr>
        <w:t>.</w:t>
      </w:r>
    </w:p>
    <w:p w14:paraId="5F4A0CFF" w14:textId="3A8B2388" w:rsidR="00292206" w:rsidRDefault="00292206" w:rsidP="00E34E31">
      <w:pPr>
        <w:spacing w:after="0"/>
        <w:contextualSpacing/>
        <w:jc w:val="both"/>
        <w:rPr>
          <w:rFonts w:ascii="Arial" w:hAnsi="Arial" w:cs="Arial"/>
          <w:b/>
          <w:sz w:val="24"/>
          <w:szCs w:val="24"/>
        </w:rPr>
      </w:pPr>
    </w:p>
    <w:p w14:paraId="3C408784" w14:textId="649D3FF6" w:rsidR="00DC2565" w:rsidRDefault="00DC2565" w:rsidP="00E34E31">
      <w:pPr>
        <w:spacing w:after="0"/>
        <w:contextualSpacing/>
        <w:jc w:val="both"/>
        <w:rPr>
          <w:rFonts w:ascii="Arial" w:hAnsi="Arial" w:cs="Arial"/>
          <w:b/>
          <w:sz w:val="24"/>
          <w:szCs w:val="24"/>
        </w:rPr>
      </w:pPr>
    </w:p>
    <w:p w14:paraId="7FABA6F1" w14:textId="77777777" w:rsidR="00A03E8F" w:rsidRDefault="00A03E8F" w:rsidP="00E34E31">
      <w:pPr>
        <w:spacing w:after="0"/>
        <w:contextualSpacing/>
        <w:jc w:val="both"/>
        <w:rPr>
          <w:rFonts w:ascii="Arial" w:hAnsi="Arial" w:cs="Arial"/>
          <w:b/>
          <w:sz w:val="24"/>
          <w:szCs w:val="24"/>
        </w:rPr>
      </w:pPr>
    </w:p>
    <w:p w14:paraId="7152182E" w14:textId="77777777" w:rsidR="00DA2CD6" w:rsidRDefault="00DA2CD6" w:rsidP="00E34E31">
      <w:pPr>
        <w:spacing w:after="0"/>
        <w:contextualSpacing/>
        <w:jc w:val="both"/>
        <w:rPr>
          <w:rFonts w:ascii="Arial" w:hAnsi="Arial" w:cs="Arial"/>
          <w:b/>
          <w:sz w:val="24"/>
          <w:szCs w:val="24"/>
        </w:rPr>
      </w:pPr>
      <w:r>
        <w:rPr>
          <w:rFonts w:ascii="Arial" w:hAnsi="Arial" w:cs="Arial"/>
          <w:b/>
          <w:sz w:val="24"/>
          <w:szCs w:val="24"/>
        </w:rPr>
        <w:t xml:space="preserve">Date of lodgement </w:t>
      </w:r>
    </w:p>
    <w:p w14:paraId="608F73A5" w14:textId="1ABAC864" w:rsidR="00DA2CD6" w:rsidRDefault="00DA2CD6" w:rsidP="00E34E31">
      <w:pPr>
        <w:spacing w:after="0"/>
        <w:contextualSpacing/>
        <w:jc w:val="both"/>
        <w:rPr>
          <w:rFonts w:ascii="Arial" w:hAnsi="Arial" w:cs="Arial"/>
          <w:b/>
          <w:sz w:val="24"/>
          <w:szCs w:val="24"/>
        </w:rPr>
      </w:pPr>
      <w:r>
        <w:rPr>
          <w:rFonts w:ascii="Arial" w:hAnsi="Arial" w:cs="Arial"/>
          <w:b/>
          <w:sz w:val="24"/>
          <w:szCs w:val="24"/>
        </w:rPr>
        <w:t xml:space="preserve">of Application: </w:t>
      </w:r>
      <w:r w:rsidRPr="00DA2CD6">
        <w:rPr>
          <w:rFonts w:ascii="Arial" w:hAnsi="Arial" w:cs="Arial"/>
          <w:sz w:val="24"/>
          <w:szCs w:val="24"/>
        </w:rPr>
        <w:tab/>
      </w:r>
      <w:r w:rsidRPr="00DA2CD6">
        <w:rPr>
          <w:rFonts w:ascii="Arial" w:hAnsi="Arial" w:cs="Arial"/>
          <w:sz w:val="24"/>
          <w:szCs w:val="24"/>
        </w:rPr>
        <w:tab/>
      </w:r>
      <w:r>
        <w:rPr>
          <w:rFonts w:ascii="Arial" w:hAnsi="Arial" w:cs="Arial"/>
          <w:sz w:val="24"/>
          <w:szCs w:val="24"/>
        </w:rPr>
        <w:tab/>
      </w:r>
      <w:r w:rsidR="00A03E8F">
        <w:rPr>
          <w:rFonts w:ascii="Arial" w:hAnsi="Arial" w:cs="Arial"/>
          <w:sz w:val="24"/>
          <w:szCs w:val="24"/>
        </w:rPr>
        <w:t>8 December 2017</w:t>
      </w:r>
    </w:p>
    <w:p w14:paraId="06B8D10F" w14:textId="5832E241" w:rsidR="00DA2CD6" w:rsidRDefault="00DA2CD6" w:rsidP="00E34E31">
      <w:pPr>
        <w:spacing w:after="0"/>
        <w:contextualSpacing/>
        <w:jc w:val="both"/>
        <w:rPr>
          <w:rFonts w:ascii="Arial" w:hAnsi="Arial" w:cs="Arial"/>
          <w:b/>
          <w:sz w:val="24"/>
          <w:szCs w:val="24"/>
        </w:rPr>
      </w:pPr>
    </w:p>
    <w:p w14:paraId="331EB520" w14:textId="7AB1E794" w:rsidR="00DC2565" w:rsidRDefault="00DC2565" w:rsidP="00E34E31">
      <w:pPr>
        <w:spacing w:after="0"/>
        <w:contextualSpacing/>
        <w:jc w:val="both"/>
        <w:rPr>
          <w:rFonts w:ascii="Arial" w:hAnsi="Arial" w:cs="Arial"/>
          <w:b/>
          <w:sz w:val="24"/>
          <w:szCs w:val="24"/>
        </w:rPr>
      </w:pPr>
    </w:p>
    <w:p w14:paraId="160E0869" w14:textId="77777777" w:rsidR="00A03E8F" w:rsidRDefault="00A03E8F" w:rsidP="00E34E31">
      <w:pPr>
        <w:spacing w:after="0"/>
        <w:contextualSpacing/>
        <w:jc w:val="both"/>
        <w:rPr>
          <w:rFonts w:ascii="Arial" w:hAnsi="Arial" w:cs="Arial"/>
          <w:b/>
          <w:sz w:val="24"/>
          <w:szCs w:val="24"/>
        </w:rPr>
      </w:pPr>
    </w:p>
    <w:p w14:paraId="018130B2" w14:textId="7FE61150" w:rsidR="00CC3660" w:rsidRPr="004B2FF8" w:rsidRDefault="00CC3660" w:rsidP="00E34E31">
      <w:pPr>
        <w:spacing w:after="0"/>
        <w:contextualSpacing/>
        <w:jc w:val="both"/>
        <w:rPr>
          <w:rFonts w:ascii="Arial" w:hAnsi="Arial" w:cs="Arial"/>
          <w:sz w:val="24"/>
          <w:szCs w:val="24"/>
        </w:rPr>
      </w:pPr>
      <w:r w:rsidRPr="004B2FF8">
        <w:rPr>
          <w:rFonts w:ascii="Arial" w:hAnsi="Arial" w:cs="Arial"/>
          <w:b/>
          <w:sz w:val="24"/>
          <w:szCs w:val="24"/>
        </w:rPr>
        <w:t>Date of Determination:</w:t>
      </w:r>
      <w:r w:rsidRPr="004B2FF8">
        <w:rPr>
          <w:rFonts w:ascii="Arial" w:hAnsi="Arial" w:cs="Arial"/>
          <w:b/>
          <w:sz w:val="24"/>
          <w:szCs w:val="24"/>
        </w:rPr>
        <w:tab/>
      </w:r>
      <w:r w:rsidRPr="004B2FF8">
        <w:rPr>
          <w:rFonts w:ascii="Arial" w:hAnsi="Arial" w:cs="Arial"/>
          <w:b/>
          <w:sz w:val="24"/>
          <w:szCs w:val="24"/>
        </w:rPr>
        <w:tab/>
      </w:r>
      <w:r w:rsidR="00907E04" w:rsidRPr="00941D32">
        <w:rPr>
          <w:rFonts w:ascii="Arial" w:hAnsi="Arial" w:cs="Arial"/>
          <w:sz w:val="24"/>
          <w:szCs w:val="24"/>
        </w:rPr>
        <w:t>1</w:t>
      </w:r>
      <w:r w:rsidR="000056E4">
        <w:rPr>
          <w:rFonts w:ascii="Arial" w:hAnsi="Arial" w:cs="Arial"/>
          <w:sz w:val="24"/>
          <w:szCs w:val="24"/>
        </w:rPr>
        <w:t>2</w:t>
      </w:r>
      <w:r w:rsidR="00DA2CD6" w:rsidRPr="00941D32">
        <w:rPr>
          <w:rFonts w:ascii="Arial" w:hAnsi="Arial" w:cs="Arial"/>
          <w:sz w:val="24"/>
          <w:szCs w:val="24"/>
        </w:rPr>
        <w:t xml:space="preserve"> </w:t>
      </w:r>
      <w:r w:rsidR="00AF28E5" w:rsidRPr="00941D32">
        <w:rPr>
          <w:rFonts w:ascii="Arial" w:hAnsi="Arial" w:cs="Arial"/>
          <w:sz w:val="24"/>
          <w:szCs w:val="24"/>
        </w:rPr>
        <w:t>January</w:t>
      </w:r>
      <w:r w:rsidR="00DA2CD6" w:rsidRPr="00DA2CD6">
        <w:rPr>
          <w:rFonts w:ascii="Arial" w:hAnsi="Arial" w:cs="Arial"/>
          <w:sz w:val="24"/>
          <w:szCs w:val="24"/>
        </w:rPr>
        <w:t xml:space="preserve"> 201</w:t>
      </w:r>
      <w:r w:rsidR="00AF28E5">
        <w:rPr>
          <w:rFonts w:ascii="Arial" w:hAnsi="Arial" w:cs="Arial"/>
          <w:sz w:val="24"/>
          <w:szCs w:val="24"/>
        </w:rPr>
        <w:t>8</w:t>
      </w:r>
    </w:p>
    <w:p w14:paraId="5435C02E" w14:textId="12CE8E1E" w:rsidR="004B2FF8" w:rsidRDefault="004B2FF8" w:rsidP="00E34E31">
      <w:pPr>
        <w:spacing w:after="0"/>
        <w:contextualSpacing/>
        <w:jc w:val="both"/>
        <w:rPr>
          <w:rFonts w:ascii="Arial" w:hAnsi="Arial" w:cs="Arial"/>
          <w:b/>
          <w:sz w:val="24"/>
          <w:szCs w:val="24"/>
        </w:rPr>
      </w:pPr>
    </w:p>
    <w:p w14:paraId="192EE2FA" w14:textId="49E9C2E5" w:rsidR="00DC2565" w:rsidRDefault="00DC2565" w:rsidP="00E34E31">
      <w:pPr>
        <w:spacing w:after="0"/>
        <w:contextualSpacing/>
        <w:jc w:val="both"/>
        <w:rPr>
          <w:rFonts w:ascii="Arial" w:hAnsi="Arial" w:cs="Arial"/>
          <w:b/>
          <w:sz w:val="24"/>
          <w:szCs w:val="24"/>
        </w:rPr>
      </w:pPr>
    </w:p>
    <w:p w14:paraId="27E6B3F1" w14:textId="77777777" w:rsidR="00A03E8F" w:rsidRDefault="00A03E8F" w:rsidP="00E34E31">
      <w:pPr>
        <w:spacing w:after="0"/>
        <w:contextualSpacing/>
        <w:jc w:val="both"/>
        <w:rPr>
          <w:rFonts w:ascii="Arial" w:hAnsi="Arial" w:cs="Arial"/>
          <w:b/>
          <w:sz w:val="24"/>
          <w:szCs w:val="24"/>
        </w:rPr>
      </w:pPr>
    </w:p>
    <w:p w14:paraId="2D1A824D" w14:textId="59859248" w:rsidR="00A03E8F" w:rsidRDefault="00DE2831" w:rsidP="00A03E8F">
      <w:pPr>
        <w:spacing w:after="0"/>
        <w:ind w:left="3600" w:hanging="3600"/>
        <w:contextualSpacing/>
        <w:jc w:val="both"/>
        <w:rPr>
          <w:rFonts w:ascii="Arial" w:hAnsi="Arial" w:cs="Arial"/>
          <w:sz w:val="24"/>
          <w:szCs w:val="24"/>
        </w:rPr>
      </w:pPr>
      <w:r w:rsidRPr="00AF28E5">
        <w:rPr>
          <w:rFonts w:ascii="Arial" w:hAnsi="Arial" w:cs="Arial"/>
          <w:b/>
          <w:sz w:val="24"/>
          <w:szCs w:val="24"/>
        </w:rPr>
        <w:t>Determination</w:t>
      </w:r>
      <w:r w:rsidR="00DA2CD6" w:rsidRPr="00AF28E5">
        <w:rPr>
          <w:rFonts w:ascii="Arial" w:hAnsi="Arial" w:cs="Arial"/>
          <w:b/>
          <w:sz w:val="24"/>
          <w:szCs w:val="24"/>
        </w:rPr>
        <w:t>:</w:t>
      </w:r>
      <w:r w:rsidRPr="00AF28E5">
        <w:rPr>
          <w:rFonts w:ascii="Arial" w:hAnsi="Arial" w:cs="Arial"/>
          <w:b/>
          <w:sz w:val="24"/>
          <w:szCs w:val="24"/>
        </w:rPr>
        <w:tab/>
      </w:r>
      <w:bookmarkStart w:id="0" w:name="_Hlk503256800"/>
      <w:r w:rsidR="00A03E8F" w:rsidRPr="00180AA3">
        <w:rPr>
          <w:rFonts w:ascii="Arial" w:hAnsi="Arial" w:cs="Arial"/>
          <w:sz w:val="24"/>
          <w:szCs w:val="24"/>
        </w:rPr>
        <w:t>The application for review is dismissed.</w:t>
      </w:r>
    </w:p>
    <w:bookmarkEnd w:id="0"/>
    <w:p w14:paraId="06BB7D55" w14:textId="65250318" w:rsidR="00DA2CD6" w:rsidRDefault="00DA2CD6" w:rsidP="00E34E31">
      <w:pPr>
        <w:spacing w:after="240"/>
        <w:contextualSpacing/>
        <w:rPr>
          <w:rFonts w:ascii="Arial" w:hAnsi="Arial" w:cs="Arial"/>
          <w:b/>
          <w:sz w:val="24"/>
          <w:szCs w:val="24"/>
        </w:rPr>
      </w:pPr>
    </w:p>
    <w:p w14:paraId="7985B0E0" w14:textId="77777777" w:rsidR="00292206" w:rsidRDefault="00292206" w:rsidP="00E34E31">
      <w:pPr>
        <w:spacing w:after="240"/>
        <w:contextualSpacing/>
        <w:jc w:val="both"/>
        <w:rPr>
          <w:rFonts w:ascii="Arial" w:hAnsi="Arial" w:cs="Arial"/>
          <w:b/>
          <w:sz w:val="24"/>
          <w:szCs w:val="24"/>
        </w:rPr>
      </w:pPr>
    </w:p>
    <w:p w14:paraId="7F27208C" w14:textId="77777777" w:rsidR="00DA2CD6" w:rsidRDefault="00DA2CD6" w:rsidP="00E34E31">
      <w:pPr>
        <w:spacing w:after="240"/>
        <w:contextualSpacing/>
        <w:jc w:val="both"/>
        <w:rPr>
          <w:rFonts w:ascii="Arial" w:hAnsi="Arial" w:cs="Arial"/>
          <w:b/>
          <w:sz w:val="24"/>
          <w:szCs w:val="24"/>
        </w:rPr>
      </w:pPr>
    </w:p>
    <w:p w14:paraId="16D12B4A" w14:textId="77777777" w:rsidR="00DA2CD6" w:rsidRDefault="00DA2CD6" w:rsidP="00E34E31">
      <w:pPr>
        <w:spacing w:after="240"/>
        <w:contextualSpacing/>
        <w:rPr>
          <w:rFonts w:ascii="Arial" w:hAnsi="Arial" w:cs="Arial"/>
          <w:b/>
          <w:sz w:val="24"/>
          <w:szCs w:val="24"/>
        </w:rPr>
      </w:pPr>
      <w:r>
        <w:rPr>
          <w:rFonts w:ascii="Arial" w:hAnsi="Arial" w:cs="Arial"/>
          <w:b/>
          <w:sz w:val="24"/>
          <w:szCs w:val="24"/>
        </w:rPr>
        <w:br w:type="page"/>
      </w:r>
    </w:p>
    <w:p w14:paraId="3A454726" w14:textId="483B3A31"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lastRenderedPageBreak/>
        <w:t xml:space="preserve">This is an application for the review of a Barring Notice pursuant to section 115AD of the </w:t>
      </w:r>
      <w:r w:rsidRPr="00A03E8F">
        <w:rPr>
          <w:rFonts w:ascii="Arial" w:eastAsia="Calibri" w:hAnsi="Arial" w:cs="Arial"/>
          <w:i/>
        </w:rPr>
        <w:t>Liquor Control Act 1988</w:t>
      </w:r>
      <w:r w:rsidRPr="00A03E8F">
        <w:rPr>
          <w:rFonts w:ascii="Arial" w:eastAsia="Calibri" w:hAnsi="Arial" w:cs="Arial"/>
        </w:rPr>
        <w:t xml:space="preserve"> (“the Act”) made by Ms V</w:t>
      </w:r>
      <w:r w:rsidR="001F72A1">
        <w:rPr>
          <w:rFonts w:ascii="Arial" w:eastAsia="Calibri" w:hAnsi="Arial" w:cs="Arial"/>
        </w:rPr>
        <w:t xml:space="preserve"> P</w:t>
      </w:r>
      <w:r w:rsidRPr="00A03E8F">
        <w:rPr>
          <w:rFonts w:ascii="Arial" w:eastAsia="Calibri" w:hAnsi="Arial" w:cs="Arial"/>
        </w:rPr>
        <w:t xml:space="preserve"> (“the applicant”). The history of the matter is as follows:</w:t>
      </w:r>
    </w:p>
    <w:p w14:paraId="10E38326" w14:textId="77777777" w:rsidR="00A03E8F" w:rsidRPr="00A03E8F" w:rsidRDefault="00A03E8F" w:rsidP="00A03E8F">
      <w:pPr>
        <w:numPr>
          <w:ilvl w:val="0"/>
          <w:numId w:val="22"/>
        </w:numPr>
        <w:spacing w:after="0" w:line="360" w:lineRule="auto"/>
        <w:contextualSpacing/>
        <w:jc w:val="both"/>
        <w:rPr>
          <w:rFonts w:ascii="Arial" w:eastAsia="Calibri" w:hAnsi="Arial" w:cs="Arial"/>
        </w:rPr>
      </w:pPr>
      <w:r w:rsidRPr="00A03E8F">
        <w:rPr>
          <w:rFonts w:ascii="Arial" w:eastAsia="Calibri" w:hAnsi="Arial" w:cs="Arial"/>
          <w:b/>
        </w:rPr>
        <w:t>26 August 2017:</w:t>
      </w:r>
      <w:r w:rsidRPr="00A03E8F">
        <w:rPr>
          <w:rFonts w:ascii="Arial" w:eastAsia="Calibri" w:hAnsi="Arial" w:cs="Arial"/>
        </w:rPr>
        <w:t xml:space="preserve"> Alleged incident at </w:t>
      </w:r>
      <w:r w:rsidRPr="00C12061">
        <w:rPr>
          <w:rFonts w:ascii="Arial" w:eastAsia="Calibri" w:hAnsi="Arial" w:cs="Arial"/>
          <w:highlight w:val="black"/>
        </w:rPr>
        <w:t>Hampton</w:t>
      </w:r>
      <w:r w:rsidRPr="001F72A1">
        <w:rPr>
          <w:rFonts w:ascii="Arial" w:eastAsia="Calibri" w:hAnsi="Arial" w:cs="Arial"/>
          <w:highlight w:val="black"/>
        </w:rPr>
        <w:t>s City Beach</w:t>
      </w:r>
      <w:r w:rsidRPr="00A03E8F">
        <w:rPr>
          <w:rFonts w:ascii="Arial" w:eastAsia="Calibri" w:hAnsi="Arial" w:cs="Arial"/>
        </w:rPr>
        <w:t>;</w:t>
      </w:r>
    </w:p>
    <w:p w14:paraId="032B13F6" w14:textId="77777777" w:rsidR="00A03E8F" w:rsidRPr="00A03E8F" w:rsidRDefault="00A03E8F" w:rsidP="00A03E8F">
      <w:pPr>
        <w:numPr>
          <w:ilvl w:val="0"/>
          <w:numId w:val="22"/>
        </w:numPr>
        <w:spacing w:after="0" w:line="360" w:lineRule="auto"/>
        <w:contextualSpacing/>
        <w:jc w:val="both"/>
        <w:rPr>
          <w:rFonts w:ascii="Arial" w:eastAsia="Calibri" w:hAnsi="Arial" w:cs="Arial"/>
        </w:rPr>
      </w:pPr>
      <w:r w:rsidRPr="00A03E8F">
        <w:rPr>
          <w:rFonts w:ascii="Arial" w:eastAsia="Calibri" w:hAnsi="Arial" w:cs="Arial"/>
          <w:b/>
        </w:rPr>
        <w:t>21 September 2017:</w:t>
      </w:r>
      <w:r w:rsidRPr="00A03E8F">
        <w:rPr>
          <w:rFonts w:ascii="Arial" w:eastAsia="Calibri" w:hAnsi="Arial" w:cs="Arial"/>
        </w:rPr>
        <w:t xml:space="preserve"> Inspector M.H. Longman of the Western Australia Police signs a Barring Notice pursuant to section 115</w:t>
      </w:r>
      <w:proofErr w:type="gramStart"/>
      <w:r w:rsidRPr="00A03E8F">
        <w:rPr>
          <w:rFonts w:ascii="Arial" w:eastAsia="Calibri" w:hAnsi="Arial" w:cs="Arial"/>
        </w:rPr>
        <w:t>AA(</w:t>
      </w:r>
      <w:proofErr w:type="gramEnd"/>
      <w:r w:rsidRPr="00A03E8F">
        <w:rPr>
          <w:rFonts w:ascii="Arial" w:eastAsia="Calibri" w:hAnsi="Arial" w:cs="Arial"/>
        </w:rPr>
        <w:t>2) of the Act on behalf of the Commissioner of Police;</w:t>
      </w:r>
    </w:p>
    <w:p w14:paraId="26A97EF7" w14:textId="77777777" w:rsidR="00A03E8F" w:rsidRPr="00A03E8F" w:rsidRDefault="00A03E8F" w:rsidP="00A03E8F">
      <w:pPr>
        <w:numPr>
          <w:ilvl w:val="0"/>
          <w:numId w:val="22"/>
        </w:numPr>
        <w:spacing w:after="0" w:line="360" w:lineRule="auto"/>
        <w:contextualSpacing/>
        <w:jc w:val="both"/>
        <w:rPr>
          <w:rFonts w:ascii="Arial" w:eastAsia="Calibri" w:hAnsi="Arial" w:cs="Arial"/>
        </w:rPr>
      </w:pPr>
      <w:r w:rsidRPr="00A03E8F">
        <w:rPr>
          <w:rFonts w:ascii="Arial" w:eastAsia="Calibri" w:hAnsi="Arial" w:cs="Arial"/>
          <w:b/>
        </w:rPr>
        <w:t>6 December 2017:</w:t>
      </w:r>
      <w:r w:rsidRPr="00A03E8F">
        <w:rPr>
          <w:rFonts w:ascii="Arial" w:eastAsia="Calibri" w:hAnsi="Arial" w:cs="Arial"/>
        </w:rPr>
        <w:t xml:space="preserve"> The applicant is served with a copy of the Barring Notice;</w:t>
      </w:r>
    </w:p>
    <w:p w14:paraId="4F787EDB" w14:textId="77777777" w:rsidR="00A03E8F" w:rsidRPr="00A03E8F" w:rsidRDefault="00A03E8F" w:rsidP="00A03E8F">
      <w:pPr>
        <w:numPr>
          <w:ilvl w:val="0"/>
          <w:numId w:val="22"/>
        </w:numPr>
        <w:spacing w:after="0" w:line="360" w:lineRule="auto"/>
        <w:contextualSpacing/>
        <w:jc w:val="both"/>
        <w:rPr>
          <w:rFonts w:ascii="Arial" w:eastAsia="Calibri" w:hAnsi="Arial" w:cs="Arial"/>
        </w:rPr>
      </w:pPr>
      <w:r w:rsidRPr="00A03E8F">
        <w:rPr>
          <w:rFonts w:ascii="Arial" w:eastAsia="Calibri" w:hAnsi="Arial" w:cs="Arial"/>
          <w:b/>
        </w:rPr>
        <w:t>7 December 2017:</w:t>
      </w:r>
      <w:r w:rsidRPr="00A03E8F">
        <w:rPr>
          <w:rFonts w:ascii="Arial" w:eastAsia="Calibri" w:hAnsi="Arial" w:cs="Arial"/>
        </w:rPr>
        <w:t xml:space="preserve"> The applicant applied to the Liquor Commission of Western Australia for a review of the Barring Notice pursuant to s.115AD of the Act.</w:t>
      </w:r>
    </w:p>
    <w:p w14:paraId="5CA78015" w14:textId="77777777" w:rsidR="00A03E8F" w:rsidRPr="00A03E8F" w:rsidRDefault="00A03E8F" w:rsidP="00A03E8F">
      <w:pPr>
        <w:spacing w:after="0" w:line="360" w:lineRule="auto"/>
        <w:jc w:val="both"/>
        <w:rPr>
          <w:rFonts w:ascii="Arial" w:eastAsia="Calibri" w:hAnsi="Arial" w:cs="Arial"/>
        </w:rPr>
      </w:pPr>
    </w:p>
    <w:p w14:paraId="20E98E62"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Commission has been provided with the following materials to determine the application:</w:t>
      </w:r>
    </w:p>
    <w:p w14:paraId="3B07F688" w14:textId="77777777" w:rsidR="00A03E8F" w:rsidRPr="00A03E8F" w:rsidRDefault="00A03E8F" w:rsidP="00A03E8F">
      <w:pPr>
        <w:spacing w:after="0" w:line="360" w:lineRule="auto"/>
        <w:jc w:val="both"/>
        <w:rPr>
          <w:rFonts w:ascii="Arial" w:eastAsia="Calibri" w:hAnsi="Arial" w:cs="Arial"/>
        </w:rPr>
      </w:pPr>
    </w:p>
    <w:p w14:paraId="3B898A56"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Barring Notice dated 21 September 2017;</w:t>
      </w:r>
    </w:p>
    <w:p w14:paraId="268CD14C"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Application for Review dated 7 December 2017;</w:t>
      </w:r>
    </w:p>
    <w:p w14:paraId="0346121A"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 xml:space="preserve">Statement of </w:t>
      </w:r>
      <w:r w:rsidRPr="001F72A1">
        <w:rPr>
          <w:rFonts w:ascii="Arial" w:eastAsia="Calibri" w:hAnsi="Arial" w:cs="Arial"/>
          <w:highlight w:val="black"/>
        </w:rPr>
        <w:t>Nils Marchant</w:t>
      </w:r>
      <w:r w:rsidRPr="00A03E8F">
        <w:rPr>
          <w:rFonts w:ascii="Arial" w:eastAsia="Calibri" w:hAnsi="Arial" w:cs="Arial"/>
        </w:rPr>
        <w:t xml:space="preserve"> dated 29 December 2017;</w:t>
      </w:r>
    </w:p>
    <w:p w14:paraId="3231197B"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Responsive submissions from the applicant dated 5 January 2017;</w:t>
      </w:r>
    </w:p>
    <w:p w14:paraId="20AB59B5"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 xml:space="preserve">Reference of </w:t>
      </w:r>
      <w:proofErr w:type="spellStart"/>
      <w:r w:rsidRPr="001F72A1">
        <w:rPr>
          <w:rFonts w:ascii="Arial" w:eastAsia="Calibri" w:hAnsi="Arial" w:cs="Arial"/>
          <w:highlight w:val="black"/>
        </w:rPr>
        <w:t>Susane</w:t>
      </w:r>
      <w:proofErr w:type="spellEnd"/>
      <w:r w:rsidRPr="001F72A1">
        <w:rPr>
          <w:rFonts w:ascii="Arial" w:eastAsia="Calibri" w:hAnsi="Arial" w:cs="Arial"/>
          <w:highlight w:val="black"/>
        </w:rPr>
        <w:t xml:space="preserve"> </w:t>
      </w:r>
      <w:proofErr w:type="spellStart"/>
      <w:r w:rsidRPr="001F72A1">
        <w:rPr>
          <w:rFonts w:ascii="Arial" w:eastAsia="Calibri" w:hAnsi="Arial" w:cs="Arial"/>
          <w:highlight w:val="black"/>
        </w:rPr>
        <w:t>Howlett</w:t>
      </w:r>
      <w:proofErr w:type="spellEnd"/>
      <w:r w:rsidRPr="00A03E8F">
        <w:rPr>
          <w:rFonts w:ascii="Arial" w:eastAsia="Calibri" w:hAnsi="Arial" w:cs="Arial"/>
        </w:rPr>
        <w:t xml:space="preserve"> dated 17 July 2016;</w:t>
      </w:r>
    </w:p>
    <w:p w14:paraId="689D2CF3"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 xml:space="preserve">Undated reference of </w:t>
      </w:r>
      <w:r w:rsidRPr="001F72A1">
        <w:rPr>
          <w:rFonts w:ascii="Arial" w:eastAsia="Calibri" w:hAnsi="Arial" w:cs="Arial"/>
          <w:highlight w:val="black"/>
        </w:rPr>
        <w:t>Kate Boland</w:t>
      </w:r>
      <w:r w:rsidRPr="00A03E8F">
        <w:rPr>
          <w:rFonts w:ascii="Arial" w:eastAsia="Calibri" w:hAnsi="Arial" w:cs="Arial"/>
        </w:rPr>
        <w:t>;</w:t>
      </w:r>
    </w:p>
    <w:p w14:paraId="70D248F5"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Respondent’s Outline of Submissions dated 19 December 2017;</w:t>
      </w:r>
    </w:p>
    <w:p w14:paraId="4E45C14F"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WAPOL Incident Report 260817 1830 14931;</w:t>
      </w:r>
    </w:p>
    <w:p w14:paraId="6515D986"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C12061">
        <w:rPr>
          <w:rFonts w:ascii="Arial" w:eastAsia="Calibri" w:hAnsi="Arial" w:cs="Arial"/>
          <w:highlight w:val="black"/>
        </w:rPr>
        <w:t>Hampton</w:t>
      </w:r>
      <w:r w:rsidRPr="001F72A1">
        <w:rPr>
          <w:rFonts w:ascii="Arial" w:eastAsia="Calibri" w:hAnsi="Arial" w:cs="Arial"/>
          <w:highlight w:val="black"/>
        </w:rPr>
        <w:t>s City Beach</w:t>
      </w:r>
      <w:r w:rsidRPr="00A03E8F">
        <w:rPr>
          <w:rFonts w:ascii="Arial" w:eastAsia="Calibri" w:hAnsi="Arial" w:cs="Arial"/>
        </w:rPr>
        <w:t xml:space="preserve"> Incident Report dated 26 August 2017;</w:t>
      </w:r>
    </w:p>
    <w:p w14:paraId="1246E41E"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Statement of Material Facts for previous offending;</w:t>
      </w:r>
    </w:p>
    <w:p w14:paraId="44A9FEBB"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Criminal History of the applicant dated 21 September 2017</w:t>
      </w:r>
    </w:p>
    <w:p w14:paraId="489E2FBD"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1F72A1">
        <w:rPr>
          <w:rFonts w:ascii="Arial" w:eastAsia="Calibri" w:hAnsi="Arial" w:cs="Arial"/>
          <w:highlight w:val="black"/>
        </w:rPr>
        <w:t>Hamptons City Beach</w:t>
      </w:r>
      <w:r w:rsidRPr="00A03E8F">
        <w:rPr>
          <w:rFonts w:ascii="Arial" w:eastAsia="Calibri" w:hAnsi="Arial" w:cs="Arial"/>
        </w:rPr>
        <w:t xml:space="preserve"> CCTV footage;</w:t>
      </w:r>
    </w:p>
    <w:p w14:paraId="779A3D66" w14:textId="77777777" w:rsidR="00A03E8F" w:rsidRPr="00A03E8F" w:rsidRDefault="00A03E8F" w:rsidP="00A03E8F">
      <w:pPr>
        <w:numPr>
          <w:ilvl w:val="0"/>
          <w:numId w:val="23"/>
        </w:numPr>
        <w:spacing w:after="0" w:line="360" w:lineRule="auto"/>
        <w:contextualSpacing/>
        <w:jc w:val="both"/>
        <w:rPr>
          <w:rFonts w:ascii="Arial" w:eastAsia="Calibri" w:hAnsi="Arial" w:cs="Arial"/>
        </w:rPr>
      </w:pPr>
      <w:r w:rsidRPr="00A03E8F">
        <w:rPr>
          <w:rFonts w:ascii="Arial" w:eastAsia="Calibri" w:hAnsi="Arial" w:cs="Arial"/>
        </w:rPr>
        <w:t>Footage shot by the applicant on her mobile telephone.</w:t>
      </w:r>
    </w:p>
    <w:p w14:paraId="733266CA" w14:textId="77777777" w:rsidR="00A03E8F" w:rsidRPr="00A03E8F" w:rsidRDefault="00A03E8F" w:rsidP="00A03E8F">
      <w:pPr>
        <w:spacing w:after="0" w:line="360" w:lineRule="auto"/>
        <w:jc w:val="both"/>
        <w:rPr>
          <w:rFonts w:ascii="Arial" w:eastAsia="Calibri" w:hAnsi="Arial" w:cs="Arial"/>
        </w:rPr>
      </w:pPr>
    </w:p>
    <w:p w14:paraId="6F9E5395"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Commission has determined that the matter can properly be dealt with on the papers.</w:t>
      </w:r>
    </w:p>
    <w:p w14:paraId="27F9733E" w14:textId="721E702E" w:rsidR="00A03E8F" w:rsidRDefault="00A03E8F" w:rsidP="00A03E8F">
      <w:pPr>
        <w:spacing w:after="0" w:line="360" w:lineRule="auto"/>
        <w:jc w:val="both"/>
        <w:rPr>
          <w:rFonts w:ascii="Arial" w:eastAsia="Calibri" w:hAnsi="Arial" w:cs="Arial"/>
        </w:rPr>
      </w:pPr>
    </w:p>
    <w:p w14:paraId="14C2845B" w14:textId="77777777" w:rsidR="00ED5AD1" w:rsidRPr="00A03E8F" w:rsidRDefault="00ED5AD1" w:rsidP="00A03E8F">
      <w:pPr>
        <w:spacing w:after="0" w:line="360" w:lineRule="auto"/>
        <w:jc w:val="both"/>
        <w:rPr>
          <w:rFonts w:ascii="Arial" w:eastAsia="Calibri" w:hAnsi="Arial" w:cs="Arial"/>
        </w:rPr>
      </w:pPr>
    </w:p>
    <w:p w14:paraId="27C6CB98" w14:textId="77777777" w:rsidR="00A03E8F" w:rsidRPr="00A03E8F" w:rsidRDefault="00A03E8F" w:rsidP="00A03E8F">
      <w:pPr>
        <w:spacing w:after="0" w:line="360" w:lineRule="auto"/>
        <w:jc w:val="both"/>
        <w:rPr>
          <w:rFonts w:ascii="Arial" w:eastAsia="Calibri" w:hAnsi="Arial" w:cs="Arial"/>
          <w:b/>
          <w:u w:val="single"/>
        </w:rPr>
      </w:pPr>
      <w:r w:rsidRPr="00A03E8F">
        <w:rPr>
          <w:rFonts w:ascii="Arial" w:eastAsia="Calibri" w:hAnsi="Arial" w:cs="Arial"/>
          <w:b/>
          <w:u w:val="single"/>
        </w:rPr>
        <w:t>STATUTORY FRAMEWORK</w:t>
      </w:r>
    </w:p>
    <w:p w14:paraId="107D574B" w14:textId="77777777" w:rsidR="00A03E8F" w:rsidRPr="00A03E8F" w:rsidRDefault="00A03E8F" w:rsidP="00A03E8F">
      <w:pPr>
        <w:spacing w:after="0" w:line="360" w:lineRule="auto"/>
        <w:jc w:val="both"/>
        <w:rPr>
          <w:rFonts w:ascii="Arial" w:eastAsia="Calibri" w:hAnsi="Arial" w:cs="Arial"/>
          <w:b/>
          <w:u w:val="single"/>
        </w:rPr>
      </w:pPr>
    </w:p>
    <w:p w14:paraId="338AA041"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Commissioner of Police (“the Commissioner”) has the power to ban people from licensed premises pursuant to s.115AA of the Act if he believes on reasonable grounds that the person has, on licensed premises:</w:t>
      </w:r>
    </w:p>
    <w:p w14:paraId="6832A671" w14:textId="77777777" w:rsidR="00A03E8F" w:rsidRPr="00A03E8F" w:rsidRDefault="00A03E8F" w:rsidP="00A03E8F">
      <w:pPr>
        <w:spacing w:after="0" w:line="360" w:lineRule="auto"/>
        <w:jc w:val="both"/>
        <w:rPr>
          <w:rFonts w:ascii="Arial" w:eastAsia="Calibri" w:hAnsi="Arial" w:cs="Arial"/>
        </w:rPr>
      </w:pPr>
    </w:p>
    <w:p w14:paraId="7A282C2B" w14:textId="77777777" w:rsidR="00A03E8F" w:rsidRPr="00A03E8F" w:rsidRDefault="00A03E8F" w:rsidP="00A03E8F">
      <w:pPr>
        <w:numPr>
          <w:ilvl w:val="0"/>
          <w:numId w:val="24"/>
        </w:numPr>
        <w:spacing w:after="0" w:line="360" w:lineRule="auto"/>
        <w:contextualSpacing/>
        <w:jc w:val="both"/>
        <w:rPr>
          <w:rFonts w:ascii="Arial" w:eastAsia="Calibri" w:hAnsi="Arial" w:cs="Arial"/>
        </w:rPr>
      </w:pPr>
      <w:r w:rsidRPr="00A03E8F">
        <w:rPr>
          <w:rFonts w:ascii="Arial" w:eastAsia="Calibri" w:hAnsi="Arial" w:cs="Arial"/>
        </w:rPr>
        <w:lastRenderedPageBreak/>
        <w:t>Been violent or disorderly; or</w:t>
      </w:r>
    </w:p>
    <w:p w14:paraId="723355C5" w14:textId="77777777" w:rsidR="00A03E8F" w:rsidRPr="00A03E8F" w:rsidRDefault="00A03E8F" w:rsidP="00A03E8F">
      <w:pPr>
        <w:numPr>
          <w:ilvl w:val="0"/>
          <w:numId w:val="24"/>
        </w:numPr>
        <w:spacing w:after="0" w:line="360" w:lineRule="auto"/>
        <w:contextualSpacing/>
        <w:jc w:val="both"/>
        <w:rPr>
          <w:rFonts w:ascii="Arial" w:eastAsia="Calibri" w:hAnsi="Arial" w:cs="Arial"/>
        </w:rPr>
      </w:pPr>
      <w:r w:rsidRPr="00A03E8F">
        <w:rPr>
          <w:rFonts w:ascii="Arial" w:eastAsia="Calibri" w:hAnsi="Arial" w:cs="Arial"/>
        </w:rPr>
        <w:t>Engaged in indecent behaviour; or</w:t>
      </w:r>
    </w:p>
    <w:p w14:paraId="366E52FD" w14:textId="77777777" w:rsidR="00A03E8F" w:rsidRPr="00A03E8F" w:rsidRDefault="00A03E8F" w:rsidP="00A03E8F">
      <w:pPr>
        <w:numPr>
          <w:ilvl w:val="0"/>
          <w:numId w:val="24"/>
        </w:numPr>
        <w:spacing w:after="0" w:line="360" w:lineRule="auto"/>
        <w:contextualSpacing/>
        <w:jc w:val="both"/>
        <w:rPr>
          <w:rFonts w:ascii="Arial" w:eastAsia="Calibri" w:hAnsi="Arial" w:cs="Arial"/>
        </w:rPr>
      </w:pPr>
      <w:r w:rsidRPr="00A03E8F">
        <w:rPr>
          <w:rFonts w:ascii="Arial" w:eastAsia="Calibri" w:hAnsi="Arial" w:cs="Arial"/>
        </w:rPr>
        <w:t>Contravened a provision of any written law.</w:t>
      </w:r>
    </w:p>
    <w:p w14:paraId="41728775" w14:textId="77777777" w:rsidR="00A03E8F" w:rsidRPr="00A03E8F" w:rsidRDefault="00A03E8F" w:rsidP="00A03E8F">
      <w:pPr>
        <w:spacing w:after="0" w:line="360" w:lineRule="auto"/>
        <w:jc w:val="both"/>
        <w:rPr>
          <w:rFonts w:ascii="Arial" w:eastAsia="Calibri" w:hAnsi="Arial" w:cs="Arial"/>
        </w:rPr>
      </w:pPr>
    </w:p>
    <w:p w14:paraId="61C35B49"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Commissioner may delegate the power conferred by s.115AA of the Act on any member of the Police Force of or above the rank of Inspector pursuant to s.115AB of the Act.</w:t>
      </w:r>
    </w:p>
    <w:p w14:paraId="1E91D9CF" w14:textId="77777777" w:rsidR="00A03E8F" w:rsidRPr="00A03E8F" w:rsidRDefault="00A03E8F" w:rsidP="00A03E8F">
      <w:pPr>
        <w:spacing w:after="0" w:line="360" w:lineRule="auto"/>
        <w:ind w:left="720"/>
        <w:contextualSpacing/>
        <w:jc w:val="both"/>
        <w:rPr>
          <w:rFonts w:ascii="Arial" w:eastAsia="Calibri" w:hAnsi="Arial" w:cs="Arial"/>
        </w:rPr>
      </w:pPr>
    </w:p>
    <w:p w14:paraId="5C5DAF51"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 xml:space="preserve">The </w:t>
      </w:r>
      <w:proofErr w:type="gramStart"/>
      <w:r w:rsidRPr="00A03E8F">
        <w:rPr>
          <w:rFonts w:ascii="Arial" w:eastAsia="Calibri" w:hAnsi="Arial" w:cs="Arial"/>
        </w:rPr>
        <w:t>underlying purpose</w:t>
      </w:r>
      <w:proofErr w:type="gramEnd"/>
      <w:r w:rsidRPr="00A03E8F">
        <w:rPr>
          <w:rFonts w:ascii="Arial" w:eastAsia="Calibri" w:hAnsi="Arial" w:cs="Arial"/>
        </w:rPr>
        <w:t xml:space="preserve"> of a Barring Notice is not to penalise an individual but to act as a protective mechanism.</w:t>
      </w:r>
      <w:r w:rsidRPr="00A03E8F">
        <w:rPr>
          <w:rFonts w:ascii="Arial" w:eastAsia="Calibri" w:hAnsi="Arial" w:cs="Arial"/>
          <w:vertAlign w:val="superscript"/>
        </w:rPr>
        <w:footnoteReference w:id="1"/>
      </w:r>
      <w:r w:rsidRPr="00A03E8F">
        <w:rPr>
          <w:rFonts w:ascii="Arial" w:eastAsia="Calibri" w:hAnsi="Arial" w:cs="Arial"/>
        </w:rPr>
        <w:t xml:space="preserve"> </w:t>
      </w:r>
    </w:p>
    <w:p w14:paraId="111B9D75" w14:textId="3CD6AD24" w:rsidR="00A03E8F" w:rsidRDefault="00A03E8F" w:rsidP="00A03E8F">
      <w:pPr>
        <w:spacing w:after="0" w:line="360" w:lineRule="auto"/>
        <w:jc w:val="both"/>
        <w:rPr>
          <w:rFonts w:ascii="Arial" w:eastAsia="Calibri" w:hAnsi="Arial" w:cs="Arial"/>
        </w:rPr>
      </w:pPr>
    </w:p>
    <w:p w14:paraId="12BD15AC" w14:textId="77777777" w:rsidR="00ED5AD1" w:rsidRPr="00A03E8F" w:rsidRDefault="00ED5AD1" w:rsidP="00A03E8F">
      <w:pPr>
        <w:spacing w:after="0" w:line="360" w:lineRule="auto"/>
        <w:jc w:val="both"/>
        <w:rPr>
          <w:rFonts w:ascii="Arial" w:eastAsia="Calibri" w:hAnsi="Arial" w:cs="Arial"/>
        </w:rPr>
      </w:pPr>
    </w:p>
    <w:p w14:paraId="6B743B9C" w14:textId="77777777" w:rsidR="00A03E8F" w:rsidRPr="00A03E8F" w:rsidRDefault="00A03E8F" w:rsidP="00A03E8F">
      <w:pPr>
        <w:spacing w:after="0" w:line="360" w:lineRule="auto"/>
        <w:jc w:val="both"/>
        <w:rPr>
          <w:rFonts w:ascii="Arial" w:eastAsia="Calibri" w:hAnsi="Arial" w:cs="Arial"/>
          <w:b/>
          <w:u w:val="single"/>
        </w:rPr>
      </w:pPr>
      <w:r w:rsidRPr="00A03E8F">
        <w:rPr>
          <w:rFonts w:ascii="Arial" w:eastAsia="Calibri" w:hAnsi="Arial" w:cs="Arial"/>
          <w:b/>
          <w:u w:val="single"/>
        </w:rPr>
        <w:t>BASIS OF THE APPLICATION</w:t>
      </w:r>
    </w:p>
    <w:p w14:paraId="651FD305" w14:textId="77777777" w:rsidR="00A03E8F" w:rsidRPr="00A03E8F" w:rsidRDefault="00A03E8F" w:rsidP="00A03E8F">
      <w:pPr>
        <w:spacing w:after="0" w:line="360" w:lineRule="auto"/>
        <w:jc w:val="both"/>
        <w:rPr>
          <w:rFonts w:ascii="Arial" w:eastAsia="Calibri" w:hAnsi="Arial" w:cs="Arial"/>
          <w:b/>
          <w:u w:val="single"/>
        </w:rPr>
      </w:pPr>
    </w:p>
    <w:p w14:paraId="10EF50B1"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In her written application dated 7 December 2017, the applicant effectively argues that the Barring Notice should not have been issued on the basis that:</w:t>
      </w:r>
    </w:p>
    <w:p w14:paraId="47F76307" w14:textId="77777777" w:rsidR="00A03E8F" w:rsidRPr="00A03E8F" w:rsidRDefault="00A03E8F" w:rsidP="00A03E8F">
      <w:pPr>
        <w:spacing w:after="0" w:line="360" w:lineRule="auto"/>
        <w:jc w:val="both"/>
        <w:rPr>
          <w:rFonts w:ascii="Arial" w:eastAsia="Calibri" w:hAnsi="Arial" w:cs="Arial"/>
        </w:rPr>
      </w:pPr>
    </w:p>
    <w:p w14:paraId="789EDD61"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She did not instigate the incident;</w:t>
      </w:r>
    </w:p>
    <w:p w14:paraId="019FCA47"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She left the restaurant believing that her dining companion was settling the bill;</w:t>
      </w:r>
    </w:p>
    <w:p w14:paraId="6A1FB8F7"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After leaving the restaurant and being asked to return to settle the bill, she asked to see the bill but none was presented;</w:t>
      </w:r>
    </w:p>
    <w:p w14:paraId="5E07DE41"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She then left the licensed premises when asked;</w:t>
      </w:r>
    </w:p>
    <w:p w14:paraId="6EE658F3"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Requests for copies of the receipt for payment were denied;</w:t>
      </w:r>
    </w:p>
    <w:p w14:paraId="15EF4D5A"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No harm was caused to any person;</w:t>
      </w:r>
    </w:p>
    <w:p w14:paraId="18773EE7" w14:textId="77777777" w:rsidR="00A03E8F" w:rsidRPr="00A03E8F" w:rsidRDefault="00A03E8F" w:rsidP="00A03E8F">
      <w:pPr>
        <w:numPr>
          <w:ilvl w:val="0"/>
          <w:numId w:val="25"/>
        </w:numPr>
        <w:spacing w:after="0" w:line="360" w:lineRule="auto"/>
        <w:contextualSpacing/>
        <w:jc w:val="both"/>
        <w:rPr>
          <w:rFonts w:ascii="Arial" w:eastAsia="Calibri" w:hAnsi="Arial" w:cs="Arial"/>
        </w:rPr>
      </w:pPr>
      <w:r w:rsidRPr="00A03E8F">
        <w:rPr>
          <w:rFonts w:ascii="Arial" w:eastAsia="Calibri" w:hAnsi="Arial" w:cs="Arial"/>
        </w:rPr>
        <w:t>She did not behave in a disorderly manner.</w:t>
      </w:r>
    </w:p>
    <w:p w14:paraId="31B4E927" w14:textId="7DE9FEBF" w:rsidR="00A03E8F" w:rsidRDefault="00A03E8F" w:rsidP="00A03E8F">
      <w:pPr>
        <w:spacing w:after="0" w:line="360" w:lineRule="auto"/>
        <w:jc w:val="both"/>
        <w:rPr>
          <w:rFonts w:ascii="Arial" w:eastAsia="Calibri" w:hAnsi="Arial" w:cs="Arial"/>
        </w:rPr>
      </w:pPr>
    </w:p>
    <w:p w14:paraId="14DED243" w14:textId="77777777" w:rsidR="00ED5AD1" w:rsidRPr="00A03E8F" w:rsidRDefault="00ED5AD1" w:rsidP="00A03E8F">
      <w:pPr>
        <w:spacing w:after="0" w:line="360" w:lineRule="auto"/>
        <w:jc w:val="both"/>
        <w:rPr>
          <w:rFonts w:ascii="Arial" w:eastAsia="Calibri" w:hAnsi="Arial" w:cs="Arial"/>
        </w:rPr>
      </w:pPr>
    </w:p>
    <w:p w14:paraId="046150B8" w14:textId="77777777" w:rsidR="00A03E8F" w:rsidRPr="00A03E8F" w:rsidRDefault="00A03E8F" w:rsidP="00A03E8F">
      <w:pPr>
        <w:spacing w:after="0" w:line="360" w:lineRule="auto"/>
        <w:jc w:val="both"/>
        <w:rPr>
          <w:rFonts w:ascii="Arial" w:eastAsia="Calibri" w:hAnsi="Arial" w:cs="Arial"/>
          <w:b/>
          <w:u w:val="single"/>
        </w:rPr>
      </w:pPr>
      <w:r w:rsidRPr="00A03E8F">
        <w:rPr>
          <w:rFonts w:ascii="Arial" w:eastAsia="Calibri" w:hAnsi="Arial" w:cs="Arial"/>
          <w:b/>
          <w:u w:val="single"/>
        </w:rPr>
        <w:t>FACTUAL FINDINGS</w:t>
      </w:r>
    </w:p>
    <w:p w14:paraId="24624444" w14:textId="77777777" w:rsidR="00A03E8F" w:rsidRPr="00A03E8F" w:rsidRDefault="00A03E8F" w:rsidP="00A03E8F">
      <w:pPr>
        <w:spacing w:after="0" w:line="360" w:lineRule="auto"/>
        <w:jc w:val="both"/>
        <w:rPr>
          <w:rFonts w:ascii="Arial" w:eastAsia="Calibri" w:hAnsi="Arial" w:cs="Arial"/>
          <w:b/>
          <w:u w:val="single"/>
        </w:rPr>
      </w:pPr>
    </w:p>
    <w:p w14:paraId="68E198A0"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 xml:space="preserve">Having considered </w:t>
      </w:r>
      <w:proofErr w:type="gramStart"/>
      <w:r w:rsidRPr="00A03E8F">
        <w:rPr>
          <w:rFonts w:ascii="Arial" w:eastAsia="Calibri" w:hAnsi="Arial" w:cs="Arial"/>
        </w:rPr>
        <w:t>all of</w:t>
      </w:r>
      <w:proofErr w:type="gramEnd"/>
      <w:r w:rsidRPr="00A03E8F">
        <w:rPr>
          <w:rFonts w:ascii="Arial" w:eastAsia="Calibri" w:hAnsi="Arial" w:cs="Arial"/>
        </w:rPr>
        <w:t xml:space="preserve"> the materials before the Commission, I am satisfied of the following salient matters:</w:t>
      </w:r>
    </w:p>
    <w:p w14:paraId="31A92D9C" w14:textId="77777777" w:rsidR="00A03E8F" w:rsidRPr="00A03E8F" w:rsidRDefault="00A03E8F" w:rsidP="00A03E8F">
      <w:pPr>
        <w:spacing w:after="0" w:line="360" w:lineRule="auto"/>
        <w:jc w:val="both"/>
        <w:rPr>
          <w:rFonts w:ascii="Arial" w:eastAsia="Calibri" w:hAnsi="Arial" w:cs="Arial"/>
        </w:rPr>
      </w:pPr>
    </w:p>
    <w:p w14:paraId="42477A56"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 xml:space="preserve">On 26 August 2017, the applicant and Mr Marchant dined at </w:t>
      </w:r>
      <w:r w:rsidRPr="00C12061">
        <w:rPr>
          <w:rFonts w:ascii="Arial" w:eastAsia="Calibri" w:hAnsi="Arial" w:cs="Arial"/>
          <w:highlight w:val="black"/>
        </w:rPr>
        <w:t>Hamptons City Beach</w:t>
      </w:r>
      <w:r w:rsidRPr="00A03E8F">
        <w:rPr>
          <w:rFonts w:ascii="Arial" w:eastAsia="Calibri" w:hAnsi="Arial" w:cs="Arial"/>
        </w:rPr>
        <w:t>;</w:t>
      </w:r>
    </w:p>
    <w:p w14:paraId="4B2D05B7"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Mr Marchant paid for his portion of the bill and left the licensed premises;</w:t>
      </w:r>
    </w:p>
    <w:p w14:paraId="19411A78"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The applicant then left the premises without paying her portion of the bill;</w:t>
      </w:r>
    </w:p>
    <w:p w14:paraId="71A13107"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lastRenderedPageBreak/>
        <w:t>The applicant was then approached by staff who requested that she settle the account;</w:t>
      </w:r>
    </w:p>
    <w:p w14:paraId="4FE2C5AA"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The applicant became violent towards the staff of the licensed premises;</w:t>
      </w:r>
    </w:p>
    <w:p w14:paraId="49C5E8CB"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The applicant re-entered the premises and behaved in a belligerent manner, recording staff and Mr Marchant, who was trying to settle the bill, on her mobile telephone;</w:t>
      </w:r>
    </w:p>
    <w:p w14:paraId="48808C03"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The applicant behaved aggressively towards various staff members, striking at least two of them;</w:t>
      </w:r>
    </w:p>
    <w:p w14:paraId="068827E2"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Staff members were forced to remove the applicant from the premises due to her violent and belligerent behaviour;</w:t>
      </w:r>
    </w:p>
    <w:p w14:paraId="306EC5F2" w14:textId="77777777" w:rsidR="00A03E8F" w:rsidRPr="00A03E8F" w:rsidRDefault="00A03E8F" w:rsidP="00A03E8F">
      <w:pPr>
        <w:numPr>
          <w:ilvl w:val="0"/>
          <w:numId w:val="26"/>
        </w:numPr>
        <w:spacing w:after="0" w:line="360" w:lineRule="auto"/>
        <w:contextualSpacing/>
        <w:jc w:val="both"/>
        <w:rPr>
          <w:rFonts w:ascii="Arial" w:eastAsia="Calibri" w:hAnsi="Arial" w:cs="Arial"/>
        </w:rPr>
      </w:pPr>
      <w:r w:rsidRPr="00A03E8F">
        <w:rPr>
          <w:rFonts w:ascii="Arial" w:eastAsia="Calibri" w:hAnsi="Arial" w:cs="Arial"/>
        </w:rPr>
        <w:t>The applicant attempted to re-enter the licensed premises but was prevented by staff from doing so.</w:t>
      </w:r>
    </w:p>
    <w:p w14:paraId="24AC9B46" w14:textId="77777777" w:rsidR="00A03E8F" w:rsidRPr="00A03E8F" w:rsidRDefault="00A03E8F" w:rsidP="00A03E8F">
      <w:pPr>
        <w:spacing w:after="0" w:line="360" w:lineRule="auto"/>
        <w:jc w:val="both"/>
        <w:rPr>
          <w:rFonts w:ascii="Arial" w:eastAsia="Calibri" w:hAnsi="Arial" w:cs="Arial"/>
        </w:rPr>
      </w:pPr>
    </w:p>
    <w:p w14:paraId="0CCD956A"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Where there is a dispute between the applicant’s evidence and the evidence relied upon by the respondent, I have preferred the evidence relied upon by the respondent. The basis for doing that is:</w:t>
      </w:r>
    </w:p>
    <w:p w14:paraId="45E9B3D6" w14:textId="77777777" w:rsidR="00A03E8F" w:rsidRPr="00A03E8F" w:rsidRDefault="00A03E8F" w:rsidP="00A03E8F">
      <w:pPr>
        <w:spacing w:after="0" w:line="360" w:lineRule="auto"/>
        <w:jc w:val="both"/>
        <w:rPr>
          <w:rFonts w:ascii="Arial" w:eastAsia="Calibri" w:hAnsi="Arial" w:cs="Arial"/>
        </w:rPr>
      </w:pPr>
    </w:p>
    <w:p w14:paraId="31A4F8A7" w14:textId="77777777" w:rsidR="00A03E8F" w:rsidRPr="00A03E8F" w:rsidRDefault="00A03E8F" w:rsidP="00A03E8F">
      <w:pPr>
        <w:numPr>
          <w:ilvl w:val="0"/>
          <w:numId w:val="27"/>
        </w:numPr>
        <w:spacing w:after="0" w:line="360" w:lineRule="auto"/>
        <w:contextualSpacing/>
        <w:jc w:val="both"/>
        <w:rPr>
          <w:rFonts w:ascii="Arial" w:eastAsia="Calibri" w:hAnsi="Arial" w:cs="Arial"/>
        </w:rPr>
      </w:pPr>
      <w:r w:rsidRPr="00A03E8F">
        <w:rPr>
          <w:rFonts w:ascii="Arial" w:eastAsia="Calibri" w:hAnsi="Arial" w:cs="Arial"/>
        </w:rPr>
        <w:t xml:space="preserve">The CTV footage generally matches up with what appears on the </w:t>
      </w:r>
      <w:r w:rsidRPr="00C12061">
        <w:rPr>
          <w:rFonts w:ascii="Arial" w:eastAsia="Calibri" w:hAnsi="Arial" w:cs="Arial"/>
          <w:highlight w:val="black"/>
        </w:rPr>
        <w:t xml:space="preserve">Hamptons City </w:t>
      </w:r>
      <w:r w:rsidRPr="001F72A1">
        <w:rPr>
          <w:rFonts w:ascii="Arial" w:eastAsia="Calibri" w:hAnsi="Arial" w:cs="Arial"/>
          <w:highlight w:val="black"/>
        </w:rPr>
        <w:t>Beach</w:t>
      </w:r>
      <w:r w:rsidRPr="00A03E8F">
        <w:rPr>
          <w:rFonts w:ascii="Arial" w:eastAsia="Calibri" w:hAnsi="Arial" w:cs="Arial"/>
        </w:rPr>
        <w:t xml:space="preserve"> Incident Report prepared by a member of staff;</w:t>
      </w:r>
    </w:p>
    <w:p w14:paraId="20E3E554" w14:textId="77777777" w:rsidR="00A03E8F" w:rsidRPr="00A03E8F" w:rsidRDefault="00A03E8F" w:rsidP="00A03E8F">
      <w:pPr>
        <w:numPr>
          <w:ilvl w:val="0"/>
          <w:numId w:val="27"/>
        </w:numPr>
        <w:spacing w:after="0" w:line="360" w:lineRule="auto"/>
        <w:contextualSpacing/>
        <w:jc w:val="both"/>
        <w:rPr>
          <w:rFonts w:ascii="Arial" w:eastAsia="Calibri" w:hAnsi="Arial" w:cs="Arial"/>
        </w:rPr>
      </w:pPr>
      <w:r w:rsidRPr="00A03E8F">
        <w:rPr>
          <w:rFonts w:ascii="Arial" w:eastAsia="Calibri" w:hAnsi="Arial" w:cs="Arial"/>
        </w:rPr>
        <w:t>The CCTV footage shows the appalling behaviour of the applicant and the attempts by staff to calm her;</w:t>
      </w:r>
    </w:p>
    <w:p w14:paraId="61E18601" w14:textId="77777777" w:rsidR="00A03E8F" w:rsidRPr="00A03E8F" w:rsidRDefault="00A03E8F" w:rsidP="00A03E8F">
      <w:pPr>
        <w:numPr>
          <w:ilvl w:val="0"/>
          <w:numId w:val="27"/>
        </w:numPr>
        <w:spacing w:after="0" w:line="360" w:lineRule="auto"/>
        <w:contextualSpacing/>
        <w:jc w:val="both"/>
        <w:rPr>
          <w:rFonts w:ascii="Arial" w:eastAsia="Calibri" w:hAnsi="Arial" w:cs="Arial"/>
        </w:rPr>
      </w:pPr>
      <w:r w:rsidRPr="00A03E8F">
        <w:rPr>
          <w:rFonts w:ascii="Arial" w:eastAsia="Calibri" w:hAnsi="Arial" w:cs="Arial"/>
        </w:rPr>
        <w:t>Based on her criminal record, the applicant has clearly behaved in a similar manner previously.</w:t>
      </w:r>
    </w:p>
    <w:p w14:paraId="23DEC0F0" w14:textId="77777777" w:rsidR="00A03E8F" w:rsidRPr="00A03E8F" w:rsidRDefault="00A03E8F" w:rsidP="00A03E8F">
      <w:pPr>
        <w:spacing w:after="0" w:line="360" w:lineRule="auto"/>
        <w:jc w:val="both"/>
        <w:rPr>
          <w:rFonts w:ascii="Arial" w:eastAsia="Calibri" w:hAnsi="Arial" w:cs="Arial"/>
        </w:rPr>
      </w:pPr>
    </w:p>
    <w:p w14:paraId="339C723B"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applicant’s criminal history reveals the following relevant prior convictions, namely:</w:t>
      </w:r>
    </w:p>
    <w:p w14:paraId="13D7205F" w14:textId="77777777" w:rsidR="00A03E8F" w:rsidRPr="00A03E8F" w:rsidRDefault="00A03E8F" w:rsidP="00A03E8F">
      <w:pPr>
        <w:spacing w:after="0" w:line="360" w:lineRule="auto"/>
        <w:jc w:val="both"/>
        <w:rPr>
          <w:rFonts w:ascii="Arial" w:eastAsia="Calibri" w:hAnsi="Arial" w:cs="Arial"/>
        </w:rPr>
      </w:pPr>
    </w:p>
    <w:p w14:paraId="3F01954F"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2/12/2010 – remain on licensed premises;</w:t>
      </w:r>
    </w:p>
    <w:p w14:paraId="3AC9C567"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2/12/2010 – obstructing public officers;</w:t>
      </w:r>
    </w:p>
    <w:p w14:paraId="69A6C1C1"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2/12/2010 – fail to comply with requirement to give personal details to police;</w:t>
      </w:r>
    </w:p>
    <w:p w14:paraId="3D63F1F0"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2/10/2010 – common assault;</w:t>
      </w:r>
    </w:p>
    <w:p w14:paraId="3E456273"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7/9/2011 – disorderly conduct;</w:t>
      </w:r>
    </w:p>
    <w:p w14:paraId="06DE9C97"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28/9/2013 – obstruct public officers;</w:t>
      </w:r>
    </w:p>
    <w:p w14:paraId="2529F2EC"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28/9/2013 – fail to obey move on notice;</w:t>
      </w:r>
    </w:p>
    <w:p w14:paraId="555905B3" w14:textId="77777777" w:rsidR="00A03E8F" w:rsidRPr="00A03E8F" w:rsidRDefault="00A03E8F" w:rsidP="00A03E8F">
      <w:pPr>
        <w:numPr>
          <w:ilvl w:val="0"/>
          <w:numId w:val="28"/>
        </w:numPr>
        <w:spacing w:after="0" w:line="360" w:lineRule="auto"/>
        <w:contextualSpacing/>
        <w:jc w:val="both"/>
        <w:rPr>
          <w:rFonts w:ascii="Arial" w:eastAsia="Calibri" w:hAnsi="Arial" w:cs="Arial"/>
        </w:rPr>
      </w:pPr>
      <w:r w:rsidRPr="00A03E8F">
        <w:rPr>
          <w:rFonts w:ascii="Arial" w:eastAsia="Calibri" w:hAnsi="Arial" w:cs="Arial"/>
        </w:rPr>
        <w:t>15/1/2016 – remain on licensed premises.</w:t>
      </w:r>
    </w:p>
    <w:p w14:paraId="533C862F" w14:textId="77777777" w:rsidR="00A03E8F" w:rsidRPr="00A03E8F" w:rsidRDefault="00A03E8F" w:rsidP="00A03E8F">
      <w:pPr>
        <w:spacing w:after="0" w:line="360" w:lineRule="auto"/>
        <w:jc w:val="both"/>
        <w:rPr>
          <w:rFonts w:ascii="Arial" w:eastAsia="Calibri" w:hAnsi="Arial" w:cs="Arial"/>
        </w:rPr>
      </w:pPr>
    </w:p>
    <w:p w14:paraId="53F490F7"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 xml:space="preserve">The Commission cannot consider the applicant to be a person of prior good character notwithstanding the character references that she has relied upon. In fact, the incident </w:t>
      </w:r>
      <w:r w:rsidRPr="00A03E8F">
        <w:rPr>
          <w:rFonts w:ascii="Arial" w:eastAsia="Calibri" w:hAnsi="Arial" w:cs="Arial"/>
        </w:rPr>
        <w:lastRenderedPageBreak/>
        <w:t>on 26 August 2017 appears to be part of an ongoing issue that the applicant has when she attends upon licensed premises.</w:t>
      </w:r>
    </w:p>
    <w:p w14:paraId="686A300A" w14:textId="77777777" w:rsidR="00A03E8F" w:rsidRPr="00A03E8F" w:rsidRDefault="00A03E8F" w:rsidP="00A03E8F">
      <w:pPr>
        <w:spacing w:after="0" w:line="360" w:lineRule="auto"/>
        <w:jc w:val="both"/>
        <w:rPr>
          <w:rFonts w:ascii="Arial" w:eastAsia="Calibri" w:hAnsi="Arial" w:cs="Arial"/>
        </w:rPr>
      </w:pPr>
    </w:p>
    <w:p w14:paraId="4CC1E771"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 xml:space="preserve">Based on </w:t>
      </w:r>
      <w:proofErr w:type="gramStart"/>
      <w:r w:rsidRPr="00A03E8F">
        <w:rPr>
          <w:rFonts w:ascii="Arial" w:eastAsia="Calibri" w:hAnsi="Arial" w:cs="Arial"/>
        </w:rPr>
        <w:t>all of</w:t>
      </w:r>
      <w:proofErr w:type="gramEnd"/>
      <w:r w:rsidRPr="00A03E8F">
        <w:rPr>
          <w:rFonts w:ascii="Arial" w:eastAsia="Calibri" w:hAnsi="Arial" w:cs="Arial"/>
        </w:rPr>
        <w:t xml:space="preserve"> the evidence, I am satisfied that the applicant behaved in a disorderly manner whilst at the </w:t>
      </w:r>
      <w:r w:rsidRPr="00C12061">
        <w:rPr>
          <w:rFonts w:ascii="Arial" w:eastAsia="Calibri" w:hAnsi="Arial" w:cs="Arial"/>
          <w:highlight w:val="black"/>
        </w:rPr>
        <w:t>Hampton</w:t>
      </w:r>
      <w:r w:rsidRPr="001F72A1">
        <w:rPr>
          <w:rFonts w:ascii="Arial" w:eastAsia="Calibri" w:hAnsi="Arial" w:cs="Arial"/>
          <w:highlight w:val="black"/>
        </w:rPr>
        <w:t>s City Beach</w:t>
      </w:r>
      <w:r w:rsidRPr="00A03E8F">
        <w:rPr>
          <w:rFonts w:ascii="Arial" w:eastAsia="Calibri" w:hAnsi="Arial" w:cs="Arial"/>
        </w:rPr>
        <w:t xml:space="preserve">, which </w:t>
      </w:r>
      <w:bookmarkStart w:id="1" w:name="_GoBack"/>
      <w:bookmarkEnd w:id="1"/>
      <w:r w:rsidRPr="00A03E8F">
        <w:rPr>
          <w:rFonts w:ascii="Arial" w:eastAsia="Calibri" w:hAnsi="Arial" w:cs="Arial"/>
        </w:rPr>
        <w:t xml:space="preserve">is a licensed premise on 26 August 2017. </w:t>
      </w:r>
    </w:p>
    <w:p w14:paraId="727E6091" w14:textId="3F06337A" w:rsidR="00824326" w:rsidRDefault="00824326" w:rsidP="00A03E8F">
      <w:pPr>
        <w:spacing w:after="0" w:line="360" w:lineRule="auto"/>
        <w:jc w:val="both"/>
        <w:rPr>
          <w:rFonts w:ascii="Arial" w:eastAsia="Calibri" w:hAnsi="Arial" w:cs="Arial"/>
          <w:b/>
          <w:u w:val="single"/>
        </w:rPr>
      </w:pPr>
    </w:p>
    <w:p w14:paraId="6BF19407" w14:textId="77777777" w:rsidR="00824326" w:rsidRDefault="00824326" w:rsidP="00A03E8F">
      <w:pPr>
        <w:spacing w:after="0" w:line="360" w:lineRule="auto"/>
        <w:jc w:val="both"/>
        <w:rPr>
          <w:rFonts w:ascii="Arial" w:eastAsia="Calibri" w:hAnsi="Arial" w:cs="Arial"/>
          <w:b/>
          <w:u w:val="single"/>
        </w:rPr>
      </w:pPr>
    </w:p>
    <w:p w14:paraId="28068625" w14:textId="05719C1B" w:rsidR="00A03E8F" w:rsidRPr="00A03E8F" w:rsidRDefault="00A03E8F" w:rsidP="00A03E8F">
      <w:pPr>
        <w:spacing w:after="0" w:line="360" w:lineRule="auto"/>
        <w:jc w:val="both"/>
        <w:rPr>
          <w:rFonts w:ascii="Arial" w:eastAsia="Calibri" w:hAnsi="Arial" w:cs="Arial"/>
          <w:b/>
          <w:u w:val="single"/>
        </w:rPr>
      </w:pPr>
      <w:r w:rsidRPr="00A03E8F">
        <w:rPr>
          <w:rFonts w:ascii="Arial" w:eastAsia="Calibri" w:hAnsi="Arial" w:cs="Arial"/>
          <w:b/>
          <w:u w:val="single"/>
        </w:rPr>
        <w:t>DETERMINATION</w:t>
      </w:r>
    </w:p>
    <w:p w14:paraId="1D550413" w14:textId="77777777" w:rsidR="00A03E8F" w:rsidRPr="00A03E8F" w:rsidRDefault="00A03E8F" w:rsidP="00A03E8F">
      <w:pPr>
        <w:spacing w:after="0" w:line="360" w:lineRule="auto"/>
        <w:jc w:val="both"/>
        <w:rPr>
          <w:rFonts w:ascii="Arial" w:eastAsia="Calibri" w:hAnsi="Arial" w:cs="Arial"/>
          <w:b/>
          <w:sz w:val="16"/>
          <w:szCs w:val="16"/>
          <w:u w:val="single"/>
        </w:rPr>
      </w:pPr>
    </w:p>
    <w:p w14:paraId="6189FD14"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I am satisfied that there was a proper basis for the delegate of the Commissioner to exercise the power conferred by s.115AA of the Act on the basis that there were reasonable grounds to conclude that the applicant had, on licensed premises engaged in disorderly conduct.</w:t>
      </w:r>
    </w:p>
    <w:p w14:paraId="05BEE09B" w14:textId="77777777" w:rsidR="00A03E8F" w:rsidRPr="00A03E8F" w:rsidRDefault="00A03E8F" w:rsidP="00A03E8F">
      <w:pPr>
        <w:spacing w:after="0" w:line="360" w:lineRule="auto"/>
        <w:ind w:left="720"/>
        <w:contextualSpacing/>
        <w:jc w:val="both"/>
        <w:rPr>
          <w:rFonts w:ascii="Arial" w:eastAsia="Calibri" w:hAnsi="Arial" w:cs="Arial"/>
        </w:rPr>
      </w:pPr>
    </w:p>
    <w:p w14:paraId="06BB42D9"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 xml:space="preserve">The basis upon which the applicant contends that the Barring Notice should be quashed is not compelling. To the contrary, the only basis upon which the Commission can consider her application is </w:t>
      </w:r>
      <w:proofErr w:type="gramStart"/>
      <w:r w:rsidRPr="00A03E8F">
        <w:rPr>
          <w:rFonts w:ascii="Arial" w:eastAsia="Calibri" w:hAnsi="Arial" w:cs="Arial"/>
        </w:rPr>
        <w:t>a number of</w:t>
      </w:r>
      <w:proofErr w:type="gramEnd"/>
      <w:r w:rsidRPr="00A03E8F">
        <w:rPr>
          <w:rFonts w:ascii="Arial" w:eastAsia="Calibri" w:hAnsi="Arial" w:cs="Arial"/>
        </w:rPr>
        <w:t xml:space="preserve"> subjective assertions that are purely self-serving in nature and some footage recorded on her mobile telephone that is nowhere near as compelling as the CCTV footage from the licensed premises. For the reasons outlined, where there is a dispute between an assertion of the applicant as to a material event and the staff members who were involved in this incident, I do not accept the version given by the applicant. </w:t>
      </w:r>
    </w:p>
    <w:p w14:paraId="59003C92" w14:textId="77777777" w:rsidR="00A03E8F" w:rsidRPr="00A03E8F" w:rsidRDefault="00A03E8F" w:rsidP="00A03E8F">
      <w:pPr>
        <w:spacing w:after="0" w:line="360" w:lineRule="auto"/>
        <w:jc w:val="both"/>
        <w:rPr>
          <w:rFonts w:ascii="Arial" w:eastAsia="Calibri" w:hAnsi="Arial" w:cs="Arial"/>
        </w:rPr>
      </w:pPr>
    </w:p>
    <w:p w14:paraId="7920A0A6"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Section 5(1)(b) of the Act sets out that one of the primary objects of the Act is to minimise harm or ill-health caused to people, or any group of people, due to the use of liquor. In the absence of any specific statutory criteria that sets out the basis upon which a review of a Barring Notice should be determined, I consider that section 5(1)(b) of the Act is the primary criteria upon which this review is to be determined.</w:t>
      </w:r>
    </w:p>
    <w:p w14:paraId="73C00AEB" w14:textId="77777777" w:rsidR="00A03E8F" w:rsidRPr="00A03E8F" w:rsidRDefault="00A03E8F" w:rsidP="00A03E8F">
      <w:pPr>
        <w:spacing w:after="0" w:line="360" w:lineRule="auto"/>
        <w:jc w:val="both"/>
        <w:rPr>
          <w:rFonts w:ascii="Arial" w:eastAsia="Calibri" w:hAnsi="Arial" w:cs="Arial"/>
        </w:rPr>
      </w:pPr>
    </w:p>
    <w:p w14:paraId="296FDB13"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issuing of the Barring Notice was in accordance with the primary object of the Act referred to in that it will protect other members of the public from being subjected to the same type of behaviour by the applicant whilst on licensed premises. This specifically relates to staff of licensed premised. Those staff at licensed premises should feel safe to go about their business without being subjected to the type of behaviour in which the applicant engaged. Physicality and aggression towards staff will never be tolerated and there is a strong public interest in those who engage in such behaviour, such as the applicant, being barred from licensed premises.</w:t>
      </w:r>
    </w:p>
    <w:p w14:paraId="43342B90" w14:textId="77777777" w:rsidR="00A03E8F" w:rsidRPr="00A03E8F" w:rsidRDefault="00A03E8F" w:rsidP="00A03E8F">
      <w:pPr>
        <w:spacing w:after="0" w:line="360" w:lineRule="auto"/>
        <w:jc w:val="both"/>
        <w:rPr>
          <w:rFonts w:ascii="Arial" w:eastAsia="Calibri" w:hAnsi="Arial" w:cs="Arial"/>
        </w:rPr>
      </w:pPr>
    </w:p>
    <w:p w14:paraId="43780DFA"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I note that the barring notice expires on 20 March 2018. Having regard to the behaviour of the applicant on 26 August 2017 and her prior record of offending, I am of the view that the duration of the barring notice was extremely lenient.</w:t>
      </w:r>
    </w:p>
    <w:p w14:paraId="6FBD016A" w14:textId="77777777" w:rsidR="00A03E8F" w:rsidRPr="00A03E8F" w:rsidRDefault="00A03E8F" w:rsidP="00A03E8F">
      <w:pPr>
        <w:spacing w:after="0" w:line="360" w:lineRule="auto"/>
        <w:jc w:val="both"/>
        <w:rPr>
          <w:rFonts w:ascii="Arial" w:eastAsia="Calibri" w:hAnsi="Arial" w:cs="Arial"/>
        </w:rPr>
      </w:pPr>
    </w:p>
    <w:p w14:paraId="40EC384B" w14:textId="77777777" w:rsidR="00A03E8F" w:rsidRPr="00A03E8F" w:rsidRDefault="00A03E8F" w:rsidP="00A03E8F">
      <w:pPr>
        <w:numPr>
          <w:ilvl w:val="0"/>
          <w:numId w:val="21"/>
        </w:numPr>
        <w:spacing w:after="0" w:line="360" w:lineRule="auto"/>
        <w:contextualSpacing/>
        <w:jc w:val="both"/>
        <w:rPr>
          <w:rFonts w:ascii="Arial" w:eastAsia="Calibri" w:hAnsi="Arial" w:cs="Arial"/>
        </w:rPr>
      </w:pPr>
      <w:r w:rsidRPr="00A03E8F">
        <w:rPr>
          <w:rFonts w:ascii="Arial" w:eastAsia="Calibri" w:hAnsi="Arial" w:cs="Arial"/>
        </w:rPr>
        <w:t>The application for review is dismissed.</w:t>
      </w:r>
    </w:p>
    <w:p w14:paraId="15A18F6C" w14:textId="5AF89BE6" w:rsidR="00306A7C" w:rsidRPr="00A03E8F" w:rsidRDefault="00306A7C" w:rsidP="00E34E31">
      <w:pPr>
        <w:spacing w:after="240"/>
        <w:contextualSpacing/>
        <w:jc w:val="both"/>
        <w:rPr>
          <w:rFonts w:ascii="Arial" w:hAnsi="Arial" w:cs="Arial"/>
          <w:b/>
        </w:rPr>
      </w:pPr>
    </w:p>
    <w:p w14:paraId="650917E2" w14:textId="771D2516" w:rsidR="00C54452" w:rsidRPr="00A03E8F" w:rsidRDefault="00ED5AD1" w:rsidP="00E34E31">
      <w:pPr>
        <w:spacing w:after="240"/>
        <w:contextualSpacing/>
        <w:jc w:val="both"/>
        <w:rPr>
          <w:rFonts w:ascii="Arial" w:hAnsi="Arial" w:cs="Arial"/>
          <w:b/>
          <w:sz w:val="40"/>
          <w:szCs w:val="40"/>
        </w:rPr>
      </w:pPr>
      <w:r>
        <w:rPr>
          <w:rFonts w:ascii="Arial" w:hAnsi="Arial" w:cs="Arial"/>
          <w:b/>
          <w:noProof/>
          <w:sz w:val="40"/>
          <w:szCs w:val="40"/>
        </w:rPr>
        <w:drawing>
          <wp:inline distT="0" distB="0" distL="0" distR="0" wp14:anchorId="1CEAC7B2" wp14:editId="3424A60B">
            <wp:extent cx="16002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pic:spPr>
                </pic:pic>
              </a:graphicData>
            </a:graphic>
          </wp:inline>
        </w:drawing>
      </w:r>
    </w:p>
    <w:p w14:paraId="2DDBD987" w14:textId="67885CDA" w:rsidR="00DB79EE" w:rsidRDefault="00306A7C" w:rsidP="00E34E31">
      <w:pPr>
        <w:spacing w:after="240"/>
        <w:contextualSpacing/>
        <w:jc w:val="both"/>
        <w:rPr>
          <w:rFonts w:ascii="Arial" w:hAnsi="Arial" w:cs="Arial"/>
          <w:b/>
        </w:rPr>
      </w:pPr>
      <w:r>
        <w:rPr>
          <w:rFonts w:ascii="Arial" w:hAnsi="Arial" w:cs="Arial"/>
          <w:b/>
        </w:rPr>
        <w:t>___</w:t>
      </w:r>
      <w:r w:rsidR="00DB79EE">
        <w:rPr>
          <w:rFonts w:ascii="Arial" w:hAnsi="Arial" w:cs="Arial"/>
          <w:b/>
        </w:rPr>
        <w:t>____________________</w:t>
      </w:r>
    </w:p>
    <w:p w14:paraId="02826752" w14:textId="77777777" w:rsidR="00A03E8F" w:rsidRDefault="00A03E8F" w:rsidP="00E34E31">
      <w:pPr>
        <w:spacing w:after="0"/>
        <w:contextualSpacing/>
        <w:jc w:val="both"/>
        <w:rPr>
          <w:rFonts w:ascii="Arial" w:hAnsi="Arial" w:cs="Arial"/>
          <w:b/>
        </w:rPr>
      </w:pPr>
      <w:r>
        <w:rPr>
          <w:rFonts w:ascii="Arial" w:hAnsi="Arial" w:cs="Arial"/>
          <w:b/>
        </w:rPr>
        <w:t>SEAMUS RAFFERTY</w:t>
      </w:r>
    </w:p>
    <w:p w14:paraId="24053223" w14:textId="4FB7CC33" w:rsidR="00DB79EE" w:rsidRPr="008B645A" w:rsidRDefault="00A03E8F" w:rsidP="00C54452">
      <w:pPr>
        <w:spacing w:after="0"/>
        <w:contextualSpacing/>
        <w:jc w:val="both"/>
        <w:rPr>
          <w:rFonts w:ascii="Arial" w:hAnsi="Arial" w:cs="Arial"/>
          <w:b/>
        </w:rPr>
      </w:pPr>
      <w:r>
        <w:rPr>
          <w:rFonts w:ascii="Arial" w:hAnsi="Arial" w:cs="Arial"/>
          <w:b/>
        </w:rPr>
        <w:t>CHAIRPERSON</w:t>
      </w:r>
    </w:p>
    <w:sectPr w:rsidR="00DB79EE" w:rsidRPr="008B645A" w:rsidSect="00ED5AD1">
      <w:footerReference w:type="default" r:id="rId9"/>
      <w:pgSz w:w="11906" w:h="16838"/>
      <w:pgMar w:top="1247" w:right="1700" w:bottom="1134"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C207" w14:textId="77777777" w:rsidR="00D95536" w:rsidRDefault="00D95536" w:rsidP="00496166">
      <w:pPr>
        <w:spacing w:after="0" w:line="240" w:lineRule="auto"/>
      </w:pPr>
      <w:r>
        <w:separator/>
      </w:r>
    </w:p>
  </w:endnote>
  <w:endnote w:type="continuationSeparator" w:id="0">
    <w:p w14:paraId="1A1E9F5A" w14:textId="77777777" w:rsidR="00D95536" w:rsidRDefault="00D95536" w:rsidP="0049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17694"/>
      <w:docPartObj>
        <w:docPartGallery w:val="Page Numbers (Bottom of Page)"/>
        <w:docPartUnique/>
      </w:docPartObj>
    </w:sdtPr>
    <w:sdtEndPr>
      <w:rPr>
        <w:noProof/>
      </w:rPr>
    </w:sdtEndPr>
    <w:sdtContent>
      <w:p w14:paraId="7B7B4BC2" w14:textId="58E62293" w:rsidR="007E2C4B" w:rsidRDefault="007E2C4B">
        <w:pPr>
          <w:pStyle w:val="Footer"/>
          <w:jc w:val="center"/>
        </w:pPr>
        <w:r>
          <w:fldChar w:fldCharType="begin"/>
        </w:r>
        <w:r>
          <w:instrText xml:space="preserve"> PAGE   \* MERGEFORMAT </w:instrText>
        </w:r>
        <w:r>
          <w:fldChar w:fldCharType="separate"/>
        </w:r>
        <w:r w:rsidR="00C12061">
          <w:rPr>
            <w:noProof/>
          </w:rPr>
          <w:t>6</w:t>
        </w:r>
        <w:r>
          <w:rPr>
            <w:noProof/>
          </w:rPr>
          <w:fldChar w:fldCharType="end"/>
        </w:r>
      </w:p>
    </w:sdtContent>
  </w:sdt>
  <w:p w14:paraId="0CADCCD7" w14:textId="77777777" w:rsidR="007E2C4B" w:rsidRDefault="007E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3DCC" w14:textId="77777777" w:rsidR="00D95536" w:rsidRDefault="00D95536" w:rsidP="00496166">
      <w:pPr>
        <w:spacing w:after="0" w:line="240" w:lineRule="auto"/>
      </w:pPr>
      <w:r>
        <w:separator/>
      </w:r>
    </w:p>
  </w:footnote>
  <w:footnote w:type="continuationSeparator" w:id="0">
    <w:p w14:paraId="599C7C54" w14:textId="77777777" w:rsidR="00D95536" w:rsidRDefault="00D95536" w:rsidP="00496166">
      <w:pPr>
        <w:spacing w:after="0" w:line="240" w:lineRule="auto"/>
      </w:pPr>
      <w:r>
        <w:continuationSeparator/>
      </w:r>
    </w:p>
  </w:footnote>
  <w:footnote w:id="1">
    <w:p w14:paraId="2BEAFD99" w14:textId="77777777" w:rsidR="00A03E8F" w:rsidRPr="00944629" w:rsidRDefault="00A03E8F" w:rsidP="00A03E8F">
      <w:pPr>
        <w:pStyle w:val="FootnoteText"/>
      </w:pPr>
      <w:r>
        <w:rPr>
          <w:rStyle w:val="FootnoteReference"/>
        </w:rPr>
        <w:footnoteRef/>
      </w:r>
      <w:r>
        <w:t xml:space="preserve"> </w:t>
      </w:r>
      <w:r>
        <w:rPr>
          <w:i/>
        </w:rPr>
        <w:t xml:space="preserve">Van </w:t>
      </w:r>
      <w:proofErr w:type="spellStart"/>
      <w:r>
        <w:rPr>
          <w:i/>
        </w:rPr>
        <w:t>Styn</w:t>
      </w:r>
      <w:proofErr w:type="spellEnd"/>
      <w:r>
        <w:rPr>
          <w:i/>
        </w:rPr>
        <w:t xml:space="preserve"> v Commissioner of Police</w:t>
      </w:r>
      <w:r>
        <w:t xml:space="preserve"> (LC19/2011)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3B5"/>
    <w:multiLevelType w:val="hybridMultilevel"/>
    <w:tmpl w:val="209A01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4C33"/>
    <w:multiLevelType w:val="hybridMultilevel"/>
    <w:tmpl w:val="A260EA68"/>
    <w:lvl w:ilvl="0" w:tplc="CFEE8F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7477E0"/>
    <w:multiLevelType w:val="hybridMultilevel"/>
    <w:tmpl w:val="3F422314"/>
    <w:lvl w:ilvl="0" w:tplc="8E3E5264">
      <w:start w:val="1"/>
      <w:numFmt w:val="lowerLetter"/>
      <w:lvlText w:val="%1)"/>
      <w:lvlJc w:val="left"/>
      <w:pPr>
        <w:ind w:left="1287" w:hanging="360"/>
      </w:pPr>
      <w:rPr>
        <w:i/>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 w15:restartNumberingAfterBreak="0">
    <w:nsid w:val="0CDB700C"/>
    <w:multiLevelType w:val="hybridMultilevel"/>
    <w:tmpl w:val="69E4B91A"/>
    <w:lvl w:ilvl="0" w:tplc="74347156">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 w15:restartNumberingAfterBreak="0">
    <w:nsid w:val="0E062A27"/>
    <w:multiLevelType w:val="hybridMultilevel"/>
    <w:tmpl w:val="C686B43E"/>
    <w:lvl w:ilvl="0" w:tplc="DE7E1ED2">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D42BA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6C36D40"/>
    <w:multiLevelType w:val="hybridMultilevel"/>
    <w:tmpl w:val="4A1207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A5B11"/>
    <w:multiLevelType w:val="hybridMultilevel"/>
    <w:tmpl w:val="05BA078A"/>
    <w:lvl w:ilvl="0" w:tplc="B5B2FB40">
      <w:start w:val="1"/>
      <w:numFmt w:val="decimal"/>
      <w:lvlText w:val="%1)"/>
      <w:lvlJc w:val="left"/>
      <w:pPr>
        <w:ind w:left="927" w:hanging="360"/>
      </w:pPr>
      <w:rPr>
        <w:i/>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8" w15:restartNumberingAfterBreak="0">
    <w:nsid w:val="18AA5961"/>
    <w:multiLevelType w:val="hybridMultilevel"/>
    <w:tmpl w:val="58484B42"/>
    <w:lvl w:ilvl="0" w:tplc="B9EAEC2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E682B3C"/>
    <w:multiLevelType w:val="hybridMultilevel"/>
    <w:tmpl w:val="CB5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1167A"/>
    <w:multiLevelType w:val="hybridMultilevel"/>
    <w:tmpl w:val="EC2A9E3A"/>
    <w:lvl w:ilvl="0" w:tplc="80802ED8">
      <w:start w:val="1"/>
      <w:numFmt w:val="decimal"/>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5E2257"/>
    <w:multiLevelType w:val="hybridMultilevel"/>
    <w:tmpl w:val="EED86094"/>
    <w:lvl w:ilvl="0" w:tplc="06E6F5B0">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2" w15:restartNumberingAfterBreak="0">
    <w:nsid w:val="2D8752F6"/>
    <w:multiLevelType w:val="hybridMultilevel"/>
    <w:tmpl w:val="DFC89C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8477A"/>
    <w:multiLevelType w:val="hybridMultilevel"/>
    <w:tmpl w:val="1DAA5F1E"/>
    <w:lvl w:ilvl="0" w:tplc="61546848">
      <w:start w:val="1"/>
      <w:numFmt w:val="decimal"/>
      <w:lvlText w:val="%1"/>
      <w:lvlJc w:val="left"/>
      <w:pPr>
        <w:ind w:left="36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33B112E"/>
    <w:multiLevelType w:val="hybridMultilevel"/>
    <w:tmpl w:val="9648DCE0"/>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5" w15:restartNumberingAfterBreak="0">
    <w:nsid w:val="46305B44"/>
    <w:multiLevelType w:val="hybridMultilevel"/>
    <w:tmpl w:val="22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3508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42F4E04"/>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7D01B77"/>
    <w:multiLevelType w:val="hybridMultilevel"/>
    <w:tmpl w:val="39804FEE"/>
    <w:lvl w:ilvl="0" w:tplc="15FCA6D2">
      <w:start w:val="1"/>
      <w:numFmt w:val="decimal"/>
      <w:lvlText w:val="%1"/>
      <w:lvlJc w:val="left"/>
      <w:pPr>
        <w:ind w:left="1429" w:hanging="72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597E0744"/>
    <w:multiLevelType w:val="hybridMultilevel"/>
    <w:tmpl w:val="862A8F8E"/>
    <w:lvl w:ilvl="0" w:tplc="BE6227A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7A38C8"/>
    <w:multiLevelType w:val="hybridMultilevel"/>
    <w:tmpl w:val="A5683B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2408B2"/>
    <w:multiLevelType w:val="hybridMultilevel"/>
    <w:tmpl w:val="05DC4D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4D132C"/>
    <w:multiLevelType w:val="hybridMultilevel"/>
    <w:tmpl w:val="1764A4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151BEC"/>
    <w:multiLevelType w:val="hybridMultilevel"/>
    <w:tmpl w:val="B03EA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5F3FFD"/>
    <w:multiLevelType w:val="hybridMultilevel"/>
    <w:tmpl w:val="7BDA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41D32"/>
    <w:multiLevelType w:val="hybridMultilevel"/>
    <w:tmpl w:val="90882A28"/>
    <w:lvl w:ilvl="0" w:tplc="C728DC7A">
      <w:start w:val="1"/>
      <w:numFmt w:val="decimal"/>
      <w:lvlText w:val="%1"/>
      <w:lvlJc w:val="left"/>
      <w:pPr>
        <w:ind w:left="1080" w:hanging="720"/>
      </w:pPr>
      <w:rPr>
        <w:rFonts w:hint="default"/>
        <w:b w:val="0"/>
        <w:i w:val="0"/>
      </w:rPr>
    </w:lvl>
    <w:lvl w:ilvl="1" w:tplc="0C090019">
      <w:start w:val="1"/>
      <w:numFmt w:val="lowerLetter"/>
      <w:lvlText w:val="%2."/>
      <w:lvlJc w:val="left"/>
      <w:pPr>
        <w:ind w:left="1440" w:hanging="360"/>
      </w:pPr>
    </w:lvl>
    <w:lvl w:ilvl="2" w:tplc="D8C6BC1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23"/>
  </w:num>
  <w:num w:numId="5">
    <w:abstractNumId w:val="15"/>
  </w:num>
  <w:num w:numId="6">
    <w:abstractNumId w:val="9"/>
  </w:num>
  <w:num w:numId="7">
    <w:abstractNumId w:val="2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1"/>
  </w:num>
  <w:num w:numId="21">
    <w:abstractNumId w:val="24"/>
  </w:num>
  <w:num w:numId="22">
    <w:abstractNumId w:val="19"/>
  </w:num>
  <w:num w:numId="23">
    <w:abstractNumId w:val="6"/>
  </w:num>
  <w:num w:numId="24">
    <w:abstractNumId w:val="20"/>
  </w:num>
  <w:num w:numId="25">
    <w:abstractNumId w:val="12"/>
  </w:num>
  <w:num w:numId="26">
    <w:abstractNumId w:val="21"/>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9"/>
    <w:rsid w:val="00001C15"/>
    <w:rsid w:val="000022CA"/>
    <w:rsid w:val="000056E4"/>
    <w:rsid w:val="00006353"/>
    <w:rsid w:val="000151F6"/>
    <w:rsid w:val="00024209"/>
    <w:rsid w:val="000366B3"/>
    <w:rsid w:val="00040AD2"/>
    <w:rsid w:val="00050048"/>
    <w:rsid w:val="0005774B"/>
    <w:rsid w:val="000671AB"/>
    <w:rsid w:val="00071073"/>
    <w:rsid w:val="000811D9"/>
    <w:rsid w:val="00081929"/>
    <w:rsid w:val="00085B13"/>
    <w:rsid w:val="00093DC2"/>
    <w:rsid w:val="000A3C2F"/>
    <w:rsid w:val="000A3CFC"/>
    <w:rsid w:val="000B6578"/>
    <w:rsid w:val="000C1436"/>
    <w:rsid w:val="000E095E"/>
    <w:rsid w:val="000E4835"/>
    <w:rsid w:val="000E5FA2"/>
    <w:rsid w:val="000F7728"/>
    <w:rsid w:val="00103AF3"/>
    <w:rsid w:val="00135EAF"/>
    <w:rsid w:val="00145DA3"/>
    <w:rsid w:val="00145DB0"/>
    <w:rsid w:val="00154E37"/>
    <w:rsid w:val="001604A6"/>
    <w:rsid w:val="00160D3D"/>
    <w:rsid w:val="001623F8"/>
    <w:rsid w:val="00164F6B"/>
    <w:rsid w:val="00171EC0"/>
    <w:rsid w:val="00181DA3"/>
    <w:rsid w:val="00190B3D"/>
    <w:rsid w:val="00190BE7"/>
    <w:rsid w:val="001B6BE7"/>
    <w:rsid w:val="001C7623"/>
    <w:rsid w:val="001D612A"/>
    <w:rsid w:val="001D6BAB"/>
    <w:rsid w:val="001F612B"/>
    <w:rsid w:val="001F72A1"/>
    <w:rsid w:val="002008F4"/>
    <w:rsid w:val="0020120F"/>
    <w:rsid w:val="0021044B"/>
    <w:rsid w:val="00227E7A"/>
    <w:rsid w:val="00234012"/>
    <w:rsid w:val="002425C0"/>
    <w:rsid w:val="00251CBD"/>
    <w:rsid w:val="00255BD2"/>
    <w:rsid w:val="0026568F"/>
    <w:rsid w:val="002748BB"/>
    <w:rsid w:val="00277430"/>
    <w:rsid w:val="00292206"/>
    <w:rsid w:val="0029724D"/>
    <w:rsid w:val="002A43C3"/>
    <w:rsid w:val="002A6B0D"/>
    <w:rsid w:val="002B4298"/>
    <w:rsid w:val="002C37BA"/>
    <w:rsid w:val="002D1BC9"/>
    <w:rsid w:val="002E1BC9"/>
    <w:rsid w:val="002E5453"/>
    <w:rsid w:val="002F7EAF"/>
    <w:rsid w:val="00304879"/>
    <w:rsid w:val="00306A7C"/>
    <w:rsid w:val="003322D0"/>
    <w:rsid w:val="003322E7"/>
    <w:rsid w:val="0033686A"/>
    <w:rsid w:val="00341E49"/>
    <w:rsid w:val="0035725E"/>
    <w:rsid w:val="003A30C0"/>
    <w:rsid w:val="003A4BD0"/>
    <w:rsid w:val="003A5772"/>
    <w:rsid w:val="003A67FB"/>
    <w:rsid w:val="003A79AA"/>
    <w:rsid w:val="003D6C24"/>
    <w:rsid w:val="003F0915"/>
    <w:rsid w:val="003F37EF"/>
    <w:rsid w:val="00407C9F"/>
    <w:rsid w:val="00413FA0"/>
    <w:rsid w:val="00414E6E"/>
    <w:rsid w:val="00415410"/>
    <w:rsid w:val="00442714"/>
    <w:rsid w:val="004534C4"/>
    <w:rsid w:val="00454090"/>
    <w:rsid w:val="00461E73"/>
    <w:rsid w:val="004743EC"/>
    <w:rsid w:val="00495E50"/>
    <w:rsid w:val="00496166"/>
    <w:rsid w:val="004A0D1B"/>
    <w:rsid w:val="004B2FF8"/>
    <w:rsid w:val="004B4657"/>
    <w:rsid w:val="004B68F1"/>
    <w:rsid w:val="004C51DD"/>
    <w:rsid w:val="004D0721"/>
    <w:rsid w:val="004D7DAF"/>
    <w:rsid w:val="004E11A2"/>
    <w:rsid w:val="004E2951"/>
    <w:rsid w:val="004F091F"/>
    <w:rsid w:val="004F6BAD"/>
    <w:rsid w:val="005121A1"/>
    <w:rsid w:val="005230EC"/>
    <w:rsid w:val="005254D2"/>
    <w:rsid w:val="00530F91"/>
    <w:rsid w:val="00562664"/>
    <w:rsid w:val="00573FD0"/>
    <w:rsid w:val="00584062"/>
    <w:rsid w:val="00595BED"/>
    <w:rsid w:val="005A0A61"/>
    <w:rsid w:val="005A3AAE"/>
    <w:rsid w:val="005C79E0"/>
    <w:rsid w:val="005C7E4D"/>
    <w:rsid w:val="005D20A5"/>
    <w:rsid w:val="005E2429"/>
    <w:rsid w:val="005F2CEB"/>
    <w:rsid w:val="005F30E1"/>
    <w:rsid w:val="005F3CAD"/>
    <w:rsid w:val="005F781A"/>
    <w:rsid w:val="006250A4"/>
    <w:rsid w:val="0063494E"/>
    <w:rsid w:val="00641D34"/>
    <w:rsid w:val="006424C0"/>
    <w:rsid w:val="0065124C"/>
    <w:rsid w:val="00654E4F"/>
    <w:rsid w:val="00657268"/>
    <w:rsid w:val="00664F97"/>
    <w:rsid w:val="006678C6"/>
    <w:rsid w:val="00680B20"/>
    <w:rsid w:val="00686689"/>
    <w:rsid w:val="006937EB"/>
    <w:rsid w:val="00696FD6"/>
    <w:rsid w:val="006A7223"/>
    <w:rsid w:val="006D4EE6"/>
    <w:rsid w:val="006F1279"/>
    <w:rsid w:val="006F34DA"/>
    <w:rsid w:val="00731A93"/>
    <w:rsid w:val="007474DC"/>
    <w:rsid w:val="00764912"/>
    <w:rsid w:val="00774C21"/>
    <w:rsid w:val="007A5563"/>
    <w:rsid w:val="007A5D48"/>
    <w:rsid w:val="007C19AA"/>
    <w:rsid w:val="007C2713"/>
    <w:rsid w:val="007D2954"/>
    <w:rsid w:val="007E2C4B"/>
    <w:rsid w:val="007E7CC9"/>
    <w:rsid w:val="007F42DA"/>
    <w:rsid w:val="007F4366"/>
    <w:rsid w:val="00804B1B"/>
    <w:rsid w:val="00807ECB"/>
    <w:rsid w:val="008124E0"/>
    <w:rsid w:val="0081384C"/>
    <w:rsid w:val="008164A8"/>
    <w:rsid w:val="00824326"/>
    <w:rsid w:val="00841E61"/>
    <w:rsid w:val="00850490"/>
    <w:rsid w:val="0085153E"/>
    <w:rsid w:val="0085337D"/>
    <w:rsid w:val="0086471B"/>
    <w:rsid w:val="00865F43"/>
    <w:rsid w:val="00872F35"/>
    <w:rsid w:val="00893393"/>
    <w:rsid w:val="008A6A60"/>
    <w:rsid w:val="008A7031"/>
    <w:rsid w:val="008A7DBB"/>
    <w:rsid w:val="008B645A"/>
    <w:rsid w:val="008D3F64"/>
    <w:rsid w:val="008D60C1"/>
    <w:rsid w:val="008E4F3B"/>
    <w:rsid w:val="009031FB"/>
    <w:rsid w:val="00907E04"/>
    <w:rsid w:val="00917298"/>
    <w:rsid w:val="00941D32"/>
    <w:rsid w:val="00944E64"/>
    <w:rsid w:val="009550F0"/>
    <w:rsid w:val="009616D0"/>
    <w:rsid w:val="00962791"/>
    <w:rsid w:val="00965B97"/>
    <w:rsid w:val="0097486B"/>
    <w:rsid w:val="009860FD"/>
    <w:rsid w:val="00992163"/>
    <w:rsid w:val="00995E58"/>
    <w:rsid w:val="009C3C23"/>
    <w:rsid w:val="009C51E6"/>
    <w:rsid w:val="009C66A4"/>
    <w:rsid w:val="009D6A65"/>
    <w:rsid w:val="009E159F"/>
    <w:rsid w:val="009F16AD"/>
    <w:rsid w:val="009F66FF"/>
    <w:rsid w:val="00A03E8F"/>
    <w:rsid w:val="00A11E05"/>
    <w:rsid w:val="00A16D76"/>
    <w:rsid w:val="00A266C6"/>
    <w:rsid w:val="00A30A13"/>
    <w:rsid w:val="00A40116"/>
    <w:rsid w:val="00A46085"/>
    <w:rsid w:val="00A65B85"/>
    <w:rsid w:val="00A67060"/>
    <w:rsid w:val="00A769AB"/>
    <w:rsid w:val="00A81BF9"/>
    <w:rsid w:val="00A86456"/>
    <w:rsid w:val="00A92E10"/>
    <w:rsid w:val="00AB40D7"/>
    <w:rsid w:val="00AC1D26"/>
    <w:rsid w:val="00AD1659"/>
    <w:rsid w:val="00AF28E5"/>
    <w:rsid w:val="00B060A0"/>
    <w:rsid w:val="00B062C7"/>
    <w:rsid w:val="00B14821"/>
    <w:rsid w:val="00B25688"/>
    <w:rsid w:val="00B402E3"/>
    <w:rsid w:val="00B426A7"/>
    <w:rsid w:val="00B624D6"/>
    <w:rsid w:val="00B671A8"/>
    <w:rsid w:val="00B67CA1"/>
    <w:rsid w:val="00B7596F"/>
    <w:rsid w:val="00B834A7"/>
    <w:rsid w:val="00B84726"/>
    <w:rsid w:val="00BC62B0"/>
    <w:rsid w:val="00BD21AE"/>
    <w:rsid w:val="00BD7BFF"/>
    <w:rsid w:val="00BE032C"/>
    <w:rsid w:val="00BE0A7F"/>
    <w:rsid w:val="00BE2451"/>
    <w:rsid w:val="00BE45E5"/>
    <w:rsid w:val="00BE73D6"/>
    <w:rsid w:val="00C12061"/>
    <w:rsid w:val="00C22715"/>
    <w:rsid w:val="00C34935"/>
    <w:rsid w:val="00C42CCA"/>
    <w:rsid w:val="00C468FF"/>
    <w:rsid w:val="00C46C0B"/>
    <w:rsid w:val="00C53848"/>
    <w:rsid w:val="00C54452"/>
    <w:rsid w:val="00C57BCB"/>
    <w:rsid w:val="00C60B91"/>
    <w:rsid w:val="00C66870"/>
    <w:rsid w:val="00C90255"/>
    <w:rsid w:val="00C952BB"/>
    <w:rsid w:val="00C96C44"/>
    <w:rsid w:val="00CA1E01"/>
    <w:rsid w:val="00CC3660"/>
    <w:rsid w:val="00CE0EEA"/>
    <w:rsid w:val="00CE3F97"/>
    <w:rsid w:val="00CF1B21"/>
    <w:rsid w:val="00CF6C40"/>
    <w:rsid w:val="00D2214F"/>
    <w:rsid w:val="00D3078A"/>
    <w:rsid w:val="00D620C5"/>
    <w:rsid w:val="00D70F55"/>
    <w:rsid w:val="00D710CF"/>
    <w:rsid w:val="00D771C0"/>
    <w:rsid w:val="00D95536"/>
    <w:rsid w:val="00DA2CD6"/>
    <w:rsid w:val="00DA51DE"/>
    <w:rsid w:val="00DB0DB1"/>
    <w:rsid w:val="00DB79EE"/>
    <w:rsid w:val="00DC2565"/>
    <w:rsid w:val="00DD2505"/>
    <w:rsid w:val="00DE1E5C"/>
    <w:rsid w:val="00DE2831"/>
    <w:rsid w:val="00DE3C35"/>
    <w:rsid w:val="00DF3B45"/>
    <w:rsid w:val="00E006F0"/>
    <w:rsid w:val="00E06775"/>
    <w:rsid w:val="00E07FAB"/>
    <w:rsid w:val="00E153D1"/>
    <w:rsid w:val="00E27DC1"/>
    <w:rsid w:val="00E31EB0"/>
    <w:rsid w:val="00E34E31"/>
    <w:rsid w:val="00E44FA7"/>
    <w:rsid w:val="00E6014F"/>
    <w:rsid w:val="00E60D60"/>
    <w:rsid w:val="00E60E86"/>
    <w:rsid w:val="00E72449"/>
    <w:rsid w:val="00E74CE8"/>
    <w:rsid w:val="00E75057"/>
    <w:rsid w:val="00E809D9"/>
    <w:rsid w:val="00E8307A"/>
    <w:rsid w:val="00E919A5"/>
    <w:rsid w:val="00E951B7"/>
    <w:rsid w:val="00EB00B6"/>
    <w:rsid w:val="00EB1811"/>
    <w:rsid w:val="00EC1A27"/>
    <w:rsid w:val="00EC38A6"/>
    <w:rsid w:val="00EC5FD8"/>
    <w:rsid w:val="00ED3299"/>
    <w:rsid w:val="00ED5AD1"/>
    <w:rsid w:val="00EE12A7"/>
    <w:rsid w:val="00EF2027"/>
    <w:rsid w:val="00F020C6"/>
    <w:rsid w:val="00F04EF5"/>
    <w:rsid w:val="00F0711C"/>
    <w:rsid w:val="00F145B8"/>
    <w:rsid w:val="00F16AB5"/>
    <w:rsid w:val="00F27E5E"/>
    <w:rsid w:val="00F42FE6"/>
    <w:rsid w:val="00F43374"/>
    <w:rsid w:val="00F52BD8"/>
    <w:rsid w:val="00F70B51"/>
    <w:rsid w:val="00F82D3D"/>
    <w:rsid w:val="00F92181"/>
    <w:rsid w:val="00F969C4"/>
    <w:rsid w:val="00FA241E"/>
    <w:rsid w:val="00FB6B14"/>
    <w:rsid w:val="00FB6D6D"/>
    <w:rsid w:val="00FC4471"/>
    <w:rsid w:val="00FC7E5C"/>
    <w:rsid w:val="00FD03DF"/>
    <w:rsid w:val="00FD2729"/>
    <w:rsid w:val="00FD6837"/>
    <w:rsid w:val="00FD760F"/>
    <w:rsid w:val="00FF0124"/>
    <w:rsid w:val="00FF5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3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C0B"/>
  </w:style>
  <w:style w:type="paragraph" w:styleId="Heading1">
    <w:name w:val="heading 1"/>
    <w:basedOn w:val="Normal"/>
    <w:link w:val="Heading1Char"/>
    <w:uiPriority w:val="9"/>
    <w:qFormat/>
    <w:rsid w:val="00454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4"/>
    <w:pPr>
      <w:ind w:left="720"/>
      <w:contextualSpacing/>
    </w:pPr>
  </w:style>
  <w:style w:type="paragraph" w:styleId="Header">
    <w:name w:val="header"/>
    <w:basedOn w:val="Normal"/>
    <w:link w:val="HeaderChar"/>
    <w:uiPriority w:val="99"/>
    <w:unhideWhenUsed/>
    <w:rsid w:val="00496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66"/>
  </w:style>
  <w:style w:type="paragraph" w:styleId="Footer">
    <w:name w:val="footer"/>
    <w:basedOn w:val="Normal"/>
    <w:link w:val="FooterChar"/>
    <w:uiPriority w:val="99"/>
    <w:unhideWhenUsed/>
    <w:rsid w:val="0049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66"/>
  </w:style>
  <w:style w:type="paragraph" w:styleId="EndnoteText">
    <w:name w:val="endnote text"/>
    <w:basedOn w:val="Normal"/>
    <w:link w:val="EndnoteTextChar"/>
    <w:uiPriority w:val="99"/>
    <w:semiHidden/>
    <w:unhideWhenUsed/>
    <w:rsid w:val="00731A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A93"/>
    <w:rPr>
      <w:sz w:val="20"/>
      <w:szCs w:val="20"/>
    </w:rPr>
  </w:style>
  <w:style w:type="character" w:styleId="EndnoteReference">
    <w:name w:val="endnote reference"/>
    <w:basedOn w:val="DefaultParagraphFont"/>
    <w:uiPriority w:val="99"/>
    <w:semiHidden/>
    <w:unhideWhenUsed/>
    <w:rsid w:val="00731A93"/>
    <w:rPr>
      <w:vertAlign w:val="superscript"/>
    </w:rPr>
  </w:style>
  <w:style w:type="character" w:customStyle="1" w:styleId="Heading1Char">
    <w:name w:val="Heading 1 Char"/>
    <w:basedOn w:val="DefaultParagraphFont"/>
    <w:link w:val="Heading1"/>
    <w:uiPriority w:val="9"/>
    <w:rsid w:val="0045409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54090"/>
    <w:rPr>
      <w:b/>
      <w:bCs/>
    </w:rPr>
  </w:style>
  <w:style w:type="paragraph" w:styleId="BalloonText">
    <w:name w:val="Balloon Text"/>
    <w:basedOn w:val="Normal"/>
    <w:link w:val="BalloonTextChar"/>
    <w:uiPriority w:val="99"/>
    <w:semiHidden/>
    <w:unhideWhenUsed/>
    <w:rsid w:val="0053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91"/>
    <w:rPr>
      <w:rFonts w:ascii="Segoe UI" w:hAnsi="Segoe UI" w:cs="Segoe UI"/>
      <w:sz w:val="18"/>
      <w:szCs w:val="18"/>
    </w:rPr>
  </w:style>
  <w:style w:type="paragraph" w:styleId="FootnoteText">
    <w:name w:val="footnote text"/>
    <w:basedOn w:val="Normal"/>
    <w:link w:val="FootnoteTextChar"/>
    <w:uiPriority w:val="99"/>
    <w:semiHidden/>
    <w:unhideWhenUsed/>
    <w:rsid w:val="00A03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8F"/>
    <w:rPr>
      <w:sz w:val="20"/>
      <w:szCs w:val="20"/>
    </w:rPr>
  </w:style>
  <w:style w:type="character" w:styleId="FootnoteReference">
    <w:name w:val="footnote reference"/>
    <w:basedOn w:val="DefaultParagraphFont"/>
    <w:uiPriority w:val="99"/>
    <w:unhideWhenUsed/>
    <w:rsid w:val="00A03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398">
      <w:bodyDiv w:val="1"/>
      <w:marLeft w:val="0"/>
      <w:marRight w:val="0"/>
      <w:marTop w:val="0"/>
      <w:marBottom w:val="0"/>
      <w:divBdr>
        <w:top w:val="none" w:sz="0" w:space="0" w:color="auto"/>
        <w:left w:val="none" w:sz="0" w:space="0" w:color="auto"/>
        <w:bottom w:val="none" w:sz="0" w:space="0" w:color="auto"/>
        <w:right w:val="none" w:sz="0" w:space="0" w:color="auto"/>
      </w:divBdr>
    </w:div>
    <w:div w:id="136848910">
      <w:bodyDiv w:val="1"/>
      <w:marLeft w:val="0"/>
      <w:marRight w:val="0"/>
      <w:marTop w:val="0"/>
      <w:marBottom w:val="0"/>
      <w:divBdr>
        <w:top w:val="none" w:sz="0" w:space="0" w:color="auto"/>
        <w:left w:val="none" w:sz="0" w:space="0" w:color="auto"/>
        <w:bottom w:val="none" w:sz="0" w:space="0" w:color="auto"/>
        <w:right w:val="none" w:sz="0" w:space="0" w:color="auto"/>
      </w:divBdr>
    </w:div>
    <w:div w:id="151214872">
      <w:bodyDiv w:val="1"/>
      <w:marLeft w:val="0"/>
      <w:marRight w:val="0"/>
      <w:marTop w:val="0"/>
      <w:marBottom w:val="0"/>
      <w:divBdr>
        <w:top w:val="none" w:sz="0" w:space="0" w:color="auto"/>
        <w:left w:val="none" w:sz="0" w:space="0" w:color="auto"/>
        <w:bottom w:val="none" w:sz="0" w:space="0" w:color="auto"/>
        <w:right w:val="none" w:sz="0" w:space="0" w:color="auto"/>
      </w:divBdr>
    </w:div>
    <w:div w:id="158011932">
      <w:bodyDiv w:val="1"/>
      <w:marLeft w:val="0"/>
      <w:marRight w:val="0"/>
      <w:marTop w:val="0"/>
      <w:marBottom w:val="0"/>
      <w:divBdr>
        <w:top w:val="none" w:sz="0" w:space="0" w:color="auto"/>
        <w:left w:val="none" w:sz="0" w:space="0" w:color="auto"/>
        <w:bottom w:val="none" w:sz="0" w:space="0" w:color="auto"/>
        <w:right w:val="none" w:sz="0" w:space="0" w:color="auto"/>
      </w:divBdr>
    </w:div>
    <w:div w:id="183442855">
      <w:bodyDiv w:val="1"/>
      <w:marLeft w:val="0"/>
      <w:marRight w:val="0"/>
      <w:marTop w:val="0"/>
      <w:marBottom w:val="0"/>
      <w:divBdr>
        <w:top w:val="none" w:sz="0" w:space="0" w:color="auto"/>
        <w:left w:val="none" w:sz="0" w:space="0" w:color="auto"/>
        <w:bottom w:val="none" w:sz="0" w:space="0" w:color="auto"/>
        <w:right w:val="none" w:sz="0" w:space="0" w:color="auto"/>
      </w:divBdr>
    </w:div>
    <w:div w:id="198317583">
      <w:bodyDiv w:val="1"/>
      <w:marLeft w:val="0"/>
      <w:marRight w:val="0"/>
      <w:marTop w:val="0"/>
      <w:marBottom w:val="0"/>
      <w:divBdr>
        <w:top w:val="none" w:sz="0" w:space="0" w:color="auto"/>
        <w:left w:val="none" w:sz="0" w:space="0" w:color="auto"/>
        <w:bottom w:val="none" w:sz="0" w:space="0" w:color="auto"/>
        <w:right w:val="none" w:sz="0" w:space="0" w:color="auto"/>
      </w:divBdr>
    </w:div>
    <w:div w:id="225069817">
      <w:bodyDiv w:val="1"/>
      <w:marLeft w:val="0"/>
      <w:marRight w:val="0"/>
      <w:marTop w:val="0"/>
      <w:marBottom w:val="0"/>
      <w:divBdr>
        <w:top w:val="none" w:sz="0" w:space="0" w:color="auto"/>
        <w:left w:val="none" w:sz="0" w:space="0" w:color="auto"/>
        <w:bottom w:val="none" w:sz="0" w:space="0" w:color="auto"/>
        <w:right w:val="none" w:sz="0" w:space="0" w:color="auto"/>
      </w:divBdr>
    </w:div>
    <w:div w:id="354118294">
      <w:bodyDiv w:val="1"/>
      <w:marLeft w:val="0"/>
      <w:marRight w:val="0"/>
      <w:marTop w:val="0"/>
      <w:marBottom w:val="0"/>
      <w:divBdr>
        <w:top w:val="none" w:sz="0" w:space="0" w:color="auto"/>
        <w:left w:val="none" w:sz="0" w:space="0" w:color="auto"/>
        <w:bottom w:val="none" w:sz="0" w:space="0" w:color="auto"/>
        <w:right w:val="none" w:sz="0" w:space="0" w:color="auto"/>
      </w:divBdr>
    </w:div>
    <w:div w:id="401024333">
      <w:bodyDiv w:val="1"/>
      <w:marLeft w:val="0"/>
      <w:marRight w:val="0"/>
      <w:marTop w:val="0"/>
      <w:marBottom w:val="0"/>
      <w:divBdr>
        <w:top w:val="none" w:sz="0" w:space="0" w:color="auto"/>
        <w:left w:val="none" w:sz="0" w:space="0" w:color="auto"/>
        <w:bottom w:val="none" w:sz="0" w:space="0" w:color="auto"/>
        <w:right w:val="none" w:sz="0" w:space="0" w:color="auto"/>
      </w:divBdr>
    </w:div>
    <w:div w:id="437607787">
      <w:bodyDiv w:val="1"/>
      <w:marLeft w:val="0"/>
      <w:marRight w:val="0"/>
      <w:marTop w:val="0"/>
      <w:marBottom w:val="0"/>
      <w:divBdr>
        <w:top w:val="none" w:sz="0" w:space="0" w:color="auto"/>
        <w:left w:val="none" w:sz="0" w:space="0" w:color="auto"/>
        <w:bottom w:val="none" w:sz="0" w:space="0" w:color="auto"/>
        <w:right w:val="none" w:sz="0" w:space="0" w:color="auto"/>
      </w:divBdr>
    </w:div>
    <w:div w:id="487400221">
      <w:bodyDiv w:val="1"/>
      <w:marLeft w:val="0"/>
      <w:marRight w:val="0"/>
      <w:marTop w:val="0"/>
      <w:marBottom w:val="0"/>
      <w:divBdr>
        <w:top w:val="none" w:sz="0" w:space="0" w:color="auto"/>
        <w:left w:val="none" w:sz="0" w:space="0" w:color="auto"/>
        <w:bottom w:val="none" w:sz="0" w:space="0" w:color="auto"/>
        <w:right w:val="none" w:sz="0" w:space="0" w:color="auto"/>
      </w:divBdr>
    </w:div>
    <w:div w:id="547381350">
      <w:bodyDiv w:val="1"/>
      <w:marLeft w:val="0"/>
      <w:marRight w:val="0"/>
      <w:marTop w:val="0"/>
      <w:marBottom w:val="0"/>
      <w:divBdr>
        <w:top w:val="none" w:sz="0" w:space="0" w:color="auto"/>
        <w:left w:val="none" w:sz="0" w:space="0" w:color="auto"/>
        <w:bottom w:val="none" w:sz="0" w:space="0" w:color="auto"/>
        <w:right w:val="none" w:sz="0" w:space="0" w:color="auto"/>
      </w:divBdr>
    </w:div>
    <w:div w:id="670958595">
      <w:bodyDiv w:val="1"/>
      <w:marLeft w:val="0"/>
      <w:marRight w:val="0"/>
      <w:marTop w:val="0"/>
      <w:marBottom w:val="0"/>
      <w:divBdr>
        <w:top w:val="none" w:sz="0" w:space="0" w:color="auto"/>
        <w:left w:val="none" w:sz="0" w:space="0" w:color="auto"/>
        <w:bottom w:val="none" w:sz="0" w:space="0" w:color="auto"/>
        <w:right w:val="none" w:sz="0" w:space="0" w:color="auto"/>
      </w:divBdr>
    </w:div>
    <w:div w:id="783957765">
      <w:bodyDiv w:val="1"/>
      <w:marLeft w:val="0"/>
      <w:marRight w:val="0"/>
      <w:marTop w:val="0"/>
      <w:marBottom w:val="0"/>
      <w:divBdr>
        <w:top w:val="none" w:sz="0" w:space="0" w:color="auto"/>
        <w:left w:val="none" w:sz="0" w:space="0" w:color="auto"/>
        <w:bottom w:val="none" w:sz="0" w:space="0" w:color="auto"/>
        <w:right w:val="none" w:sz="0" w:space="0" w:color="auto"/>
      </w:divBdr>
    </w:div>
    <w:div w:id="855273642">
      <w:bodyDiv w:val="1"/>
      <w:marLeft w:val="0"/>
      <w:marRight w:val="0"/>
      <w:marTop w:val="0"/>
      <w:marBottom w:val="0"/>
      <w:divBdr>
        <w:top w:val="none" w:sz="0" w:space="0" w:color="auto"/>
        <w:left w:val="none" w:sz="0" w:space="0" w:color="auto"/>
        <w:bottom w:val="none" w:sz="0" w:space="0" w:color="auto"/>
        <w:right w:val="none" w:sz="0" w:space="0" w:color="auto"/>
      </w:divBdr>
    </w:div>
    <w:div w:id="986937096">
      <w:bodyDiv w:val="1"/>
      <w:marLeft w:val="0"/>
      <w:marRight w:val="0"/>
      <w:marTop w:val="0"/>
      <w:marBottom w:val="0"/>
      <w:divBdr>
        <w:top w:val="none" w:sz="0" w:space="0" w:color="auto"/>
        <w:left w:val="none" w:sz="0" w:space="0" w:color="auto"/>
        <w:bottom w:val="none" w:sz="0" w:space="0" w:color="auto"/>
        <w:right w:val="none" w:sz="0" w:space="0" w:color="auto"/>
      </w:divBdr>
    </w:div>
    <w:div w:id="1030376212">
      <w:bodyDiv w:val="1"/>
      <w:marLeft w:val="0"/>
      <w:marRight w:val="0"/>
      <w:marTop w:val="0"/>
      <w:marBottom w:val="0"/>
      <w:divBdr>
        <w:top w:val="none" w:sz="0" w:space="0" w:color="auto"/>
        <w:left w:val="none" w:sz="0" w:space="0" w:color="auto"/>
        <w:bottom w:val="none" w:sz="0" w:space="0" w:color="auto"/>
        <w:right w:val="none" w:sz="0" w:space="0" w:color="auto"/>
      </w:divBdr>
    </w:div>
    <w:div w:id="1093087553">
      <w:bodyDiv w:val="1"/>
      <w:marLeft w:val="0"/>
      <w:marRight w:val="0"/>
      <w:marTop w:val="0"/>
      <w:marBottom w:val="0"/>
      <w:divBdr>
        <w:top w:val="none" w:sz="0" w:space="0" w:color="auto"/>
        <w:left w:val="none" w:sz="0" w:space="0" w:color="auto"/>
        <w:bottom w:val="none" w:sz="0" w:space="0" w:color="auto"/>
        <w:right w:val="none" w:sz="0" w:space="0" w:color="auto"/>
      </w:divBdr>
    </w:div>
    <w:div w:id="1197039269">
      <w:bodyDiv w:val="1"/>
      <w:marLeft w:val="0"/>
      <w:marRight w:val="0"/>
      <w:marTop w:val="0"/>
      <w:marBottom w:val="0"/>
      <w:divBdr>
        <w:top w:val="none" w:sz="0" w:space="0" w:color="auto"/>
        <w:left w:val="none" w:sz="0" w:space="0" w:color="auto"/>
        <w:bottom w:val="none" w:sz="0" w:space="0" w:color="auto"/>
        <w:right w:val="none" w:sz="0" w:space="0" w:color="auto"/>
      </w:divBdr>
    </w:div>
    <w:div w:id="1205288723">
      <w:bodyDiv w:val="1"/>
      <w:marLeft w:val="0"/>
      <w:marRight w:val="0"/>
      <w:marTop w:val="0"/>
      <w:marBottom w:val="0"/>
      <w:divBdr>
        <w:top w:val="none" w:sz="0" w:space="0" w:color="auto"/>
        <w:left w:val="none" w:sz="0" w:space="0" w:color="auto"/>
        <w:bottom w:val="none" w:sz="0" w:space="0" w:color="auto"/>
        <w:right w:val="none" w:sz="0" w:space="0" w:color="auto"/>
      </w:divBdr>
    </w:div>
    <w:div w:id="1286737004">
      <w:bodyDiv w:val="1"/>
      <w:marLeft w:val="0"/>
      <w:marRight w:val="0"/>
      <w:marTop w:val="0"/>
      <w:marBottom w:val="0"/>
      <w:divBdr>
        <w:top w:val="none" w:sz="0" w:space="0" w:color="auto"/>
        <w:left w:val="none" w:sz="0" w:space="0" w:color="auto"/>
        <w:bottom w:val="none" w:sz="0" w:space="0" w:color="auto"/>
        <w:right w:val="none" w:sz="0" w:space="0" w:color="auto"/>
      </w:divBdr>
    </w:div>
    <w:div w:id="1361663205">
      <w:bodyDiv w:val="1"/>
      <w:marLeft w:val="0"/>
      <w:marRight w:val="0"/>
      <w:marTop w:val="0"/>
      <w:marBottom w:val="0"/>
      <w:divBdr>
        <w:top w:val="none" w:sz="0" w:space="0" w:color="auto"/>
        <w:left w:val="none" w:sz="0" w:space="0" w:color="auto"/>
        <w:bottom w:val="none" w:sz="0" w:space="0" w:color="auto"/>
        <w:right w:val="none" w:sz="0" w:space="0" w:color="auto"/>
      </w:divBdr>
    </w:div>
    <w:div w:id="1466701272">
      <w:bodyDiv w:val="1"/>
      <w:marLeft w:val="0"/>
      <w:marRight w:val="0"/>
      <w:marTop w:val="0"/>
      <w:marBottom w:val="0"/>
      <w:divBdr>
        <w:top w:val="none" w:sz="0" w:space="0" w:color="auto"/>
        <w:left w:val="none" w:sz="0" w:space="0" w:color="auto"/>
        <w:bottom w:val="none" w:sz="0" w:space="0" w:color="auto"/>
        <w:right w:val="none" w:sz="0" w:space="0" w:color="auto"/>
      </w:divBdr>
    </w:div>
    <w:div w:id="1478062470">
      <w:bodyDiv w:val="1"/>
      <w:marLeft w:val="0"/>
      <w:marRight w:val="0"/>
      <w:marTop w:val="0"/>
      <w:marBottom w:val="0"/>
      <w:divBdr>
        <w:top w:val="none" w:sz="0" w:space="0" w:color="auto"/>
        <w:left w:val="none" w:sz="0" w:space="0" w:color="auto"/>
        <w:bottom w:val="none" w:sz="0" w:space="0" w:color="auto"/>
        <w:right w:val="none" w:sz="0" w:space="0" w:color="auto"/>
      </w:divBdr>
    </w:div>
    <w:div w:id="1606039120">
      <w:bodyDiv w:val="1"/>
      <w:marLeft w:val="0"/>
      <w:marRight w:val="0"/>
      <w:marTop w:val="0"/>
      <w:marBottom w:val="0"/>
      <w:divBdr>
        <w:top w:val="none" w:sz="0" w:space="0" w:color="auto"/>
        <w:left w:val="none" w:sz="0" w:space="0" w:color="auto"/>
        <w:bottom w:val="none" w:sz="0" w:space="0" w:color="auto"/>
        <w:right w:val="none" w:sz="0" w:space="0" w:color="auto"/>
      </w:divBdr>
    </w:div>
    <w:div w:id="1658455112">
      <w:bodyDiv w:val="1"/>
      <w:marLeft w:val="0"/>
      <w:marRight w:val="0"/>
      <w:marTop w:val="0"/>
      <w:marBottom w:val="0"/>
      <w:divBdr>
        <w:top w:val="none" w:sz="0" w:space="0" w:color="auto"/>
        <w:left w:val="none" w:sz="0" w:space="0" w:color="auto"/>
        <w:bottom w:val="none" w:sz="0" w:space="0" w:color="auto"/>
        <w:right w:val="none" w:sz="0" w:space="0" w:color="auto"/>
      </w:divBdr>
    </w:div>
    <w:div w:id="1715033011">
      <w:bodyDiv w:val="1"/>
      <w:marLeft w:val="0"/>
      <w:marRight w:val="0"/>
      <w:marTop w:val="0"/>
      <w:marBottom w:val="0"/>
      <w:divBdr>
        <w:top w:val="none" w:sz="0" w:space="0" w:color="auto"/>
        <w:left w:val="none" w:sz="0" w:space="0" w:color="auto"/>
        <w:bottom w:val="none" w:sz="0" w:space="0" w:color="auto"/>
        <w:right w:val="none" w:sz="0" w:space="0" w:color="auto"/>
      </w:divBdr>
    </w:div>
    <w:div w:id="1810055981">
      <w:bodyDiv w:val="1"/>
      <w:marLeft w:val="0"/>
      <w:marRight w:val="0"/>
      <w:marTop w:val="0"/>
      <w:marBottom w:val="0"/>
      <w:divBdr>
        <w:top w:val="none" w:sz="0" w:space="0" w:color="auto"/>
        <w:left w:val="none" w:sz="0" w:space="0" w:color="auto"/>
        <w:bottom w:val="none" w:sz="0" w:space="0" w:color="auto"/>
        <w:right w:val="none" w:sz="0" w:space="0" w:color="auto"/>
      </w:divBdr>
    </w:div>
    <w:div w:id="1819809175">
      <w:bodyDiv w:val="1"/>
      <w:marLeft w:val="0"/>
      <w:marRight w:val="0"/>
      <w:marTop w:val="0"/>
      <w:marBottom w:val="0"/>
      <w:divBdr>
        <w:top w:val="none" w:sz="0" w:space="0" w:color="auto"/>
        <w:left w:val="none" w:sz="0" w:space="0" w:color="auto"/>
        <w:bottom w:val="none" w:sz="0" w:space="0" w:color="auto"/>
        <w:right w:val="none" w:sz="0" w:space="0" w:color="auto"/>
      </w:divBdr>
    </w:div>
    <w:div w:id="1823620644">
      <w:bodyDiv w:val="1"/>
      <w:marLeft w:val="0"/>
      <w:marRight w:val="0"/>
      <w:marTop w:val="0"/>
      <w:marBottom w:val="0"/>
      <w:divBdr>
        <w:top w:val="none" w:sz="0" w:space="0" w:color="auto"/>
        <w:left w:val="none" w:sz="0" w:space="0" w:color="auto"/>
        <w:bottom w:val="none" w:sz="0" w:space="0" w:color="auto"/>
        <w:right w:val="none" w:sz="0" w:space="0" w:color="auto"/>
      </w:divBdr>
    </w:div>
    <w:div w:id="1876043783">
      <w:bodyDiv w:val="1"/>
      <w:marLeft w:val="0"/>
      <w:marRight w:val="0"/>
      <w:marTop w:val="0"/>
      <w:marBottom w:val="0"/>
      <w:divBdr>
        <w:top w:val="none" w:sz="0" w:space="0" w:color="auto"/>
        <w:left w:val="none" w:sz="0" w:space="0" w:color="auto"/>
        <w:bottom w:val="none" w:sz="0" w:space="0" w:color="auto"/>
        <w:right w:val="none" w:sz="0" w:space="0" w:color="auto"/>
      </w:divBdr>
    </w:div>
    <w:div w:id="2022125873">
      <w:bodyDiv w:val="1"/>
      <w:marLeft w:val="0"/>
      <w:marRight w:val="0"/>
      <w:marTop w:val="0"/>
      <w:marBottom w:val="0"/>
      <w:divBdr>
        <w:top w:val="none" w:sz="0" w:space="0" w:color="auto"/>
        <w:left w:val="none" w:sz="0" w:space="0" w:color="auto"/>
        <w:bottom w:val="none" w:sz="0" w:space="0" w:color="auto"/>
        <w:right w:val="none" w:sz="0" w:space="0" w:color="auto"/>
      </w:divBdr>
    </w:div>
    <w:div w:id="20738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D0BD-3F7F-4059-8A85-7C0C2CB7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2018-01-10T04:00:00Z</dcterms:created>
  <dcterms:modified xsi:type="dcterms:W3CDTF">2018-02-02T03:38:00Z</dcterms:modified>
</cp:coreProperties>
</file>